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napToGrid w:val="0"/>
        <w:spacing w:after="120"/>
        <w:jc w:val="center"/>
        <w:rPr>
          <w:rFonts w:ascii="华文楷体" w:eastAsia="华文楷体" w:hAnsi="华文楷体"/>
          <w:b/>
          <w:bCs/>
          <w:sz w:val="24"/>
          <w:szCs w:val="24"/>
        </w:rPr>
      </w:pPr>
      <w:r>
        <w:rPr>
          <w:rFonts w:ascii="华文楷体" w:eastAsia="华文楷体" w:hAnsi="华文楷体"/>
          <w:b/>
          <w:bCs/>
          <w:sz w:val="24"/>
          <w:szCs w:val="24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236"/>
        <w:gridCol w:w="4713"/>
      </w:tblGrid>
      <w:t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TOTO</w:t>
            </w:r>
            <w:r>
              <w:rPr>
                <w:rFonts w:ascii="华文楷体" w:eastAsia="华文楷体" w:hAnsi="华文楷体" w:hint="eastAsia"/>
                <w:kern w:val="0"/>
                <w:sz w:val="24"/>
                <w:szCs w:val="24"/>
              </w:rPr>
              <w:t>株式会社与</w:t>
            </w: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>三井物产株式会社</w:t>
            </w:r>
            <w:r>
              <w:rPr>
                <w:rFonts w:ascii="华文楷体" w:eastAsia="华文楷体" w:hAnsi="华文楷体" w:hint="eastAsia"/>
                <w:kern w:val="0"/>
                <w:sz w:val="24"/>
                <w:szCs w:val="24"/>
              </w:rPr>
              <w:t>新</w:t>
            </w: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>设合营企业案（</w:t>
            </w:r>
            <w:r>
              <w:rPr>
                <w:rFonts w:ascii="华文楷体" w:eastAsia="华文楷体" w:hAnsi="华文楷体"/>
                <w:b/>
                <w:kern w:val="0"/>
                <w:sz w:val="24"/>
                <w:szCs w:val="24"/>
              </w:rPr>
              <w:t>“本交易”</w:t>
            </w: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>）</w:t>
            </w:r>
          </w:p>
        </w:tc>
      </w:tr>
      <w:tr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本交易涉及</w:t>
            </w:r>
            <w:r>
              <w:rPr>
                <w:rFonts w:ascii="Times New Roman" w:eastAsia="华文楷体" w:hAnsi="Times New Roman"/>
                <w:sz w:val="24"/>
                <w:szCs w:val="24"/>
              </w:rPr>
              <w:t>TOTO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株式会社（“</w:t>
            </w:r>
            <w:r>
              <w:rPr>
                <w:rFonts w:ascii="华文楷体" w:eastAsia="华文楷体" w:hAnsi="华文楷体" w:hint="eastAsia"/>
                <w:b/>
                <w:bCs/>
                <w:sz w:val="24"/>
                <w:szCs w:val="24"/>
              </w:rPr>
              <w:t>东陶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”）和三井物产株式会社（“</w:t>
            </w:r>
            <w:r>
              <w:rPr>
                <w:rFonts w:ascii="华文楷体" w:eastAsia="华文楷体" w:hAnsi="华文楷体" w:hint="eastAsia"/>
                <w:b/>
                <w:bCs/>
                <w:sz w:val="24"/>
                <w:szCs w:val="24"/>
              </w:rPr>
              <w:t>三井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”）在俄罗斯设立合营企业。合营企业将在俄罗斯销售卫生洁具，并将由东陶（持股7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0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%）和三井（持股3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0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%）共同控制。</w:t>
            </w:r>
          </w:p>
        </w:tc>
      </w:tr>
      <w:tr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236" w:type="dxa"/>
          </w:tcPr>
          <w:p>
            <w:pPr>
              <w:snapToGrid w:val="0"/>
              <w:spacing w:after="120"/>
              <w:jc w:val="left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sz w:val="24"/>
                <w:szCs w:val="24"/>
              </w:rPr>
              <w:t>1.</w:t>
            </w:r>
            <w:r>
              <w:rPr>
                <w:rFonts w:ascii="华文楷体" w:eastAsia="华文楷体" w:hAnsi="华文楷体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东陶</w:t>
            </w:r>
          </w:p>
        </w:tc>
        <w:tc>
          <w:tcPr>
            <w:tcW w:w="4713" w:type="dxa"/>
            <w:vAlign w:val="center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东</w:t>
            </w:r>
            <w:proofErr w:type="gramStart"/>
            <w:r>
              <w:rPr>
                <w:rFonts w:ascii="华文楷体" w:eastAsia="华文楷体" w:hAnsi="华文楷体" w:hint="eastAsia"/>
                <w:sz w:val="24"/>
                <w:szCs w:val="24"/>
              </w:rPr>
              <w:t>陶成立</w:t>
            </w:r>
            <w:proofErr w:type="gramEnd"/>
            <w:r>
              <w:rPr>
                <w:rFonts w:ascii="华文楷体" w:eastAsia="华文楷体" w:hAnsi="华文楷体" w:hint="eastAsia"/>
                <w:sz w:val="24"/>
                <w:szCs w:val="24"/>
              </w:rPr>
              <w:t>于1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917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年，总部位于日本北九州市，主要业务为卫生洁具供应。</w:t>
            </w:r>
          </w:p>
        </w:tc>
      </w:tr>
      <w:tr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</w:p>
        </w:tc>
        <w:tc>
          <w:tcPr>
            <w:tcW w:w="2236" w:type="dxa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sz w:val="24"/>
                <w:szCs w:val="24"/>
              </w:rPr>
              <w:t>2.</w:t>
            </w:r>
            <w:r>
              <w:rPr>
                <w:rFonts w:ascii="华文楷体" w:eastAsia="华文楷体" w:hAnsi="华文楷体" w:hint="eastAsia"/>
                <w:kern w:val="0"/>
                <w:sz w:val="24"/>
                <w:szCs w:val="24"/>
              </w:rPr>
              <w:t xml:space="preserve"> 三井</w:t>
            </w:r>
          </w:p>
        </w:tc>
        <w:tc>
          <w:tcPr>
            <w:tcW w:w="4713" w:type="dxa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三</w:t>
            </w:r>
            <w:proofErr w:type="gramStart"/>
            <w:r>
              <w:rPr>
                <w:rFonts w:ascii="华文楷体" w:eastAsia="华文楷体" w:hAnsi="华文楷体" w:hint="eastAsia"/>
                <w:sz w:val="24"/>
                <w:szCs w:val="24"/>
              </w:rPr>
              <w:t>井成立</w:t>
            </w:r>
            <w:proofErr w:type="gramEnd"/>
            <w:r>
              <w:rPr>
                <w:rFonts w:ascii="华文楷体" w:eastAsia="华文楷体" w:hAnsi="华文楷体" w:hint="eastAsia"/>
                <w:sz w:val="24"/>
                <w:szCs w:val="24"/>
              </w:rPr>
              <w:t>于1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947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年，总部位于日本东京。三井在全球范围内多个领域开展业务，其中包括（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1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）钢铁制品；（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2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）矿产和金属资源；（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3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）基础设施项目；（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4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）综合运输系统；（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5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）基础化学品；（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6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）高性能化学品；（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7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）能源；（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8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）食品事业；（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9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）消费者服务；以及（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10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）信息技术与通信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/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企业发展。</w:t>
            </w:r>
          </w:p>
        </w:tc>
      </w:tr>
      <w:tr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华文楷体" w:eastAsia="华文楷体" w:hAnsi="华文楷体"/>
                <w:b/>
                <w:bCs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华文楷体" w:eastAsia="华文楷体" w:hAnsi="华文楷体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华文楷体" w:eastAsia="华文楷体" w:hAnsi="华文楷体"/>
                <w:kern w:val="0"/>
                <w:sz w:val="24"/>
                <w:szCs w:val="24"/>
              </w:rPr>
            </w:pPr>
            <w:r>
              <w:rPr>
                <w:rFonts w:ascii="华文楷体" w:eastAsia="华文楷体" w:hAnsi="华文楷体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spacing w:after="120"/>
              <w:rPr>
                <w:rFonts w:ascii="华文楷体" w:eastAsia="华文楷体" w:hAnsi="华文楷体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由于本交易满足上述简易案件理由</w:t>
            </w:r>
            <w:r>
              <w:rPr>
                <w:rFonts w:ascii="华文楷体" w:eastAsia="华文楷体" w:hAnsi="华文楷体"/>
                <w:sz w:val="24"/>
                <w:szCs w:val="24"/>
              </w:rPr>
              <w:t>4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，因此交易方未提供市场份额数据。</w:t>
            </w:r>
          </w:p>
        </w:tc>
      </w:tr>
    </w:tbl>
    <w:p>
      <w:pPr>
        <w:snapToGrid w:val="0"/>
        <w:spacing w:after="120"/>
        <w:rPr>
          <w:rFonts w:ascii="华文楷体" w:eastAsia="华文楷体" w:hAnsi="华文楷体"/>
        </w:rPr>
      </w:pPr>
    </w:p>
    <w:sectPr>
      <w:footerReference w:type="default" r:id="rId6"/>
      <w:footerReference w:type="firs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7"/>
      <w:spacing w:line="20" w:lineRule="exact"/>
    </w:pPr>
    <w:r>
      <w:rPr>
        <w:noProof/>
        <w:lang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zmpTrailer_2832_1B" o:spid="_x0000_s1026" type="#_x0000_t202" style="position:absolute;left:0;text-align:left;margin-left:0;margin-top:-9.95pt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" filled="f" stroked="f">
          <v:textbox inset="0,0,0,0">
            <w:txbxContent>
              <w:p>
                <w:pPr>
                  <w:pStyle w:val="MacPacTrailer"/>
                </w:pPr>
                <w:fldSimple w:instr=" DOCPROPERTY  docId ">
                  <w:r>
                    <w:t>-</w:t>
                  </w:r>
                </w:fldSimple>
                <w:r>
                  <w:fldChar w:fldCharType="begin"/>
                </w:r>
                <w:r>
                  <w:instrText xml:space="preserve"> IF </w:instrText>
                </w:r>
                <w:fldSimple w:instr=" DOCPROPERTY  docIncludeVersion ">
                  <w:r>
                    <w:instrText>true</w:instrText>
                  </w:r>
                </w:fldSimple>
                <w:r>
                  <w:instrText xml:space="preserve"> = true "/</w:instrText>
                </w:r>
                <w:fldSimple w:instr=" DOCPROPERTY  docVersion ">
                  <w:r>
                    <w:instrText>0</w:instrText>
                  </w:r>
                </w:fldSimple>
                <w:r>
                  <w:instrText>"</w:instrText>
                </w:r>
                <w:r>
                  <w:fldChar w:fldCharType="separate"/>
                </w:r>
                <w:r>
                  <w:rPr>
                    <w:noProof/>
                  </w:rPr>
                  <w:t>/0</w:t>
                </w:r>
                <w:r>
                  <w:fldChar w:fldCharType="end"/>
                </w:r>
                <w:r>
                  <w:t xml:space="preserve">   </w:t>
                </w:r>
                <w:r>
                  <w:fldChar w:fldCharType="begin"/>
                </w:r>
                <w:r>
                  <w:instrText xml:space="preserve"> IF </w:instrText>
                </w:r>
                <w:fldSimple w:instr=" DOCPROPERTY  docIncludeCliMat ">
                  <w:r>
                    <w:instrText>true</w:instrText>
                  </w:r>
                </w:fldSimple>
                <w:r>
                  <w:instrText xml:space="preserve"> = true </w:instrText>
                </w:r>
                <w:r>
                  <w:fldChar w:fldCharType="begin"/>
                </w:r>
                <w:r>
                  <w:instrText xml:space="preserve"> DOCPROPERTY  docCliMat </w:instrText>
                </w:r>
                <w:r>
                  <w:fldChar w:fldCharType="end"/>
                </w:r>
                <w:r>
                  <w:instrText xml:space="preserve">  </w:instrText>
                </w:r>
                <w:r>
                  <w:fldChar w:fldCharType="end"/>
                </w:r>
              </w:p>
              <w:p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3NjY1MDK1tLAwMDBQ0lEKTi0uzszPAykwqQUA1yvariwAAAA="/>
    <w:docVar w:name="ForteTempFile" w:val="C:\Users\a-cretford\AppData\Local\Temp\9\3da74179-3a33-42f6-aff9-f766e26957b2.docx"/>
    <w:docVar w:name="zzmp10LastTrailerInserted" w:val="^`~#mp!@2$.#+┗┨7;8{ŗmE⌐”D⌞ ã!p½₰bCÈ^‡¿T§¤!¨Ã^ÑÉPÕ5±ØKÞ@¸ï⌊¡Ãwy⌑ÛAG¦Ä&amp;]ÐÐ⌄÷á⌅․Ô4H&quot;⌠=⌚«)\ť$‥⌞⌊:ô´æ3&gt;$G•†À„Æ²$~æ_j´ŤO{*Ì4ƖÏ@sŗÂ!*¼‽₰½⌐\⌜®ˠ-`.»℥øSæ4}â­ÍŤ;&lt;èò-'⌗¯}jPëªb‗⌑ì⌖[ºƂJŕ¹SÒ“⌟”żgËBÈ⌃ŖŤ⌚^V:OÆ‡6ÛqYÍ⌚⌉VöUß⌇k⌄°Ä&gt;ñÝ⌑ÊdqË⌐Á⌒ò⌐×V~3Ï⌇«}TYÊQV011"/>
    <w:docVar w:name="zzmp10LastTrailerInserted_2832" w:val="^`~#mp!@2$.#+┗┨7;8{ŗmE⌐”D⌞ ã!p½₰bCÈ^‡¿T§¤!¨Ã^ÑÉPÕ5±ØKÞ@¸ï⌊¡Ãwy⌑ÛAG¦Ä&amp;]ÐÐ⌄÷á⌅․Ô4H&quot;⌠=⌚«)\ť$‥⌞⌊:ô´æ3&gt;$G•†À„Æ²$~æ_j´ŤO{*Ì4ƖÏ@sŗÂ!*¼‽₰½⌐\⌜®ˠ-`.»℥øSæ4}â­ÍŤ;&lt;èò-'⌗¯}jPëªb‗⌑ì⌖[ºƂJŕ¹SÒ“⌟”żgËBÈ⌃ŖŤ⌚^V:OÆ‡6ÛqYÍ⌚⌉VöUß⌇k⌄°Ä&gt;ñÝ⌑ÊdqË⌐Á⌒ò⌐×V~3Ï⌇«}TYÊQV011"/>
    <w:docVar w:name="zzmp10mSEGsValidated" w:val="1"/>
    <w:docVar w:name="zzmpCompatibilityMode" w:val="15"/>
    <w:docVar w:name="zzmpLegacyTrailerRemoved" w:val="True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70EC15-DA8B-41DD-A93C-25EB305A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华文楷体" w:hAnsi="Times New Roman" w:cs="Calibr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Segoe UI" w:eastAsia="宋体" w:hAnsi="Segoe UI" w:cs="Segoe UI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kern w:val="2"/>
      <w:sz w:val="21"/>
      <w:szCs w:val="22"/>
    </w:rPr>
  </w:style>
  <w:style w:type="paragraph" w:styleId="a7">
    <w:name w:val="footer"/>
    <w:basedOn w:val="a"/>
    <w:link w:val="a8"/>
    <w:uiPriority w:val="99"/>
    <w:unhideWhenUsed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kern w:val="2"/>
      <w:sz w:val="21"/>
      <w:szCs w:val="22"/>
    </w:rPr>
  </w:style>
  <w:style w:type="paragraph" w:customStyle="1" w:styleId="MacPacTrailer">
    <w:name w:val="MacPac Trailer"/>
    <w:pPr>
      <w:widowControl w:val="0"/>
      <w:spacing w:line="170" w:lineRule="exact"/>
    </w:pPr>
    <w:rPr>
      <w:sz w:val="14"/>
      <w:szCs w:val="22"/>
    </w:rPr>
  </w:style>
  <w:style w:type="character" w:styleId="a9">
    <w:name w:val="Placeholder Text"/>
    <w:basedOn w:val="a0"/>
    <w:uiPriority w:val="99"/>
    <w:semiHidden/>
    <w:rPr>
      <w:color w:val="808080"/>
    </w:rPr>
  </w:style>
  <w:style w:type="paragraph" w:styleId="aa">
    <w:name w:val="Revision"/>
    <w:hidden/>
    <w:uiPriority w:val="99"/>
    <w:semiHidden/>
    <w:pPr>
      <w:spacing w:after="0" w:line="240" w:lineRule="auto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FreshfieldsBruckhausDeringer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Freshfields Bruckhaus Deringer</dc:creator>
  <cp:keywords/>
  <dc:description/>
  <cp:lastModifiedBy>立方</cp:lastModifiedBy>
  <cp:revision>3</cp:revision>
  <dcterms:created xsi:type="dcterms:W3CDTF">2022-01-29T11:39:00Z</dcterms:created>
  <dcterms:modified xsi:type="dcterms:W3CDTF">2022-01-30T00:09:00Z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-</vt:lpwstr>
  </property>
  <property fmtid="{D5CDD505-2E9C-101B-9397-08002B2CF9AE}" pid="3" name="docVersion">
    <vt:lpwstr>0</vt:lpwstr>
  </property>
  <property fmtid="{D5CDD505-2E9C-101B-9397-08002B2CF9AE}" pid="4" name="docCliMat">
    <vt:lpwstr/>
  </property>
  <property fmtid="{D5CDD505-2E9C-101B-9397-08002B2CF9AE}" pid="5" name="docIncludeCliMat">
    <vt:lpwstr>true</vt:lpwstr>
  </property>
  <property fmtid="{D5CDD505-2E9C-101B-9397-08002B2CF9AE}" pid="6" name="docIncludeVersion">
    <vt:lpwstr>true</vt:lpwstr>
  </property>
</Properties>
</file>