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69A63" w14:textId="77777777" w:rsidR="00FB44C3" w:rsidRPr="000C09E6" w:rsidRDefault="00FB44C3" w:rsidP="00FB44C3">
      <w:pPr>
        <w:spacing w:before="120"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经营者集中简易案件公示表</w:t>
      </w:r>
    </w:p>
    <w:p w14:paraId="674D8973" w14:textId="77777777" w:rsidR="00FB44C3" w:rsidRPr="001267D4" w:rsidRDefault="00FB44C3" w:rsidP="00FB44C3">
      <w:pPr>
        <w:spacing w:before="120" w:after="120"/>
        <w:rPr>
          <w:rFonts w:ascii="Times New Roman" w:hAnsi="Times New Roman"/>
          <w:sz w:val="24"/>
          <w:szCs w:val="24"/>
        </w:rPr>
      </w:pPr>
    </w:p>
    <w:tbl>
      <w:tblPr>
        <w:tblW w:w="87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724"/>
        <w:gridCol w:w="1493"/>
        <w:gridCol w:w="5514"/>
      </w:tblGrid>
      <w:tr w:rsidR="00FB44C3" w14:paraId="560282B9" w14:textId="77777777" w:rsidTr="004B1245">
        <w:trPr>
          <w:cantSplit/>
          <w:trHeight w:val="605"/>
        </w:trPr>
        <w:tc>
          <w:tcPr>
            <w:tcW w:w="1724" w:type="dxa"/>
            <w:shd w:val="clear" w:color="auto" w:fill="D9D9D9"/>
          </w:tcPr>
          <w:p w14:paraId="249EF78A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7007" w:type="dxa"/>
            <w:gridSpan w:val="2"/>
            <w:shd w:val="clear" w:color="auto" w:fill="auto"/>
          </w:tcPr>
          <w:p w14:paraId="018B3F28" w14:textId="77777777" w:rsidR="00FB44C3" w:rsidRPr="001267D4" w:rsidRDefault="00FB44C3" w:rsidP="004B1245">
            <w:pPr>
              <w:tabs>
                <w:tab w:val="left" w:pos="2445"/>
              </w:tabs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熙维资本合伙企业收购</w:t>
            </w:r>
            <w:proofErr w:type="spellStart"/>
            <w:r>
              <w:rPr>
                <w:rFonts w:ascii="Times New Roman" w:hAnsi="Times New Roman" w:hint="eastAsia"/>
                <w:sz w:val="24"/>
                <w:szCs w:val="24"/>
              </w:rPr>
              <w:t>ekaterra</w:t>
            </w:r>
            <w:proofErr w:type="spellEnd"/>
            <w:r>
              <w:rPr>
                <w:rFonts w:ascii="Times New Roman" w:hAnsi="Times New Roman" w:hint="eastAsia"/>
                <w:sz w:val="24"/>
                <w:szCs w:val="24"/>
              </w:rPr>
              <w:t>私人有限公司股权案</w:t>
            </w:r>
          </w:p>
        </w:tc>
      </w:tr>
      <w:tr w:rsidR="00FB44C3" w14:paraId="4A6BC691" w14:textId="77777777" w:rsidTr="004B1245">
        <w:trPr>
          <w:cantSplit/>
          <w:trHeight w:val="993"/>
        </w:trPr>
        <w:tc>
          <w:tcPr>
            <w:tcW w:w="1724" w:type="dxa"/>
            <w:shd w:val="clear" w:color="auto" w:fill="D9D9D9"/>
          </w:tcPr>
          <w:p w14:paraId="395DDEF5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交易概况（限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200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7007" w:type="dxa"/>
            <w:gridSpan w:val="2"/>
            <w:shd w:val="clear" w:color="auto" w:fill="auto"/>
          </w:tcPr>
          <w:p w14:paraId="613F2396" w14:textId="77777777" w:rsidR="00FB44C3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本交易涉及熙维资本合伙企业（“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熙维</w:t>
            </w:r>
            <w:r>
              <w:rPr>
                <w:rFonts w:ascii="Times New Roman" w:hAnsi="Times New Roman" w:hint="eastAsia"/>
                <w:sz w:val="24"/>
                <w:szCs w:val="24"/>
              </w:rPr>
              <w:t>”）向</w:t>
            </w:r>
            <w:r w:rsidRPr="00A30838">
              <w:rPr>
                <w:rFonts w:ascii="Times New Roman" w:hAnsi="Times New Roman" w:hint="eastAsia"/>
                <w:sz w:val="24"/>
                <w:szCs w:val="24"/>
              </w:rPr>
              <w:t>联合利华国际控股私人有限公司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（“</w:t>
            </w:r>
            <w:r w:rsidRPr="00A30838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卖方</w:t>
            </w:r>
            <w:r>
              <w:rPr>
                <w:rFonts w:ascii="Times New Roman" w:hAnsi="Times New Roman" w:hint="eastAsia"/>
                <w:sz w:val="24"/>
                <w:szCs w:val="24"/>
              </w:rPr>
              <w:t>”）间接收购</w:t>
            </w:r>
            <w:proofErr w:type="spellStart"/>
            <w:r>
              <w:rPr>
                <w:rFonts w:ascii="Times New Roman" w:hAnsi="Times New Roman" w:hint="eastAsia"/>
                <w:sz w:val="24"/>
                <w:szCs w:val="24"/>
              </w:rPr>
              <w:t>e</w:t>
            </w:r>
            <w:r>
              <w:rPr>
                <w:rFonts w:ascii="Times New Roman" w:hAnsi="Times New Roman"/>
                <w:sz w:val="24"/>
                <w:szCs w:val="24"/>
              </w:rPr>
              <w:t>katerra</w:t>
            </w:r>
            <w:proofErr w:type="spellEnd"/>
            <w:r>
              <w:rPr>
                <w:rFonts w:ascii="Times New Roman" w:hAnsi="Times New Roman" w:hint="eastAsia"/>
                <w:sz w:val="24"/>
                <w:szCs w:val="24"/>
              </w:rPr>
              <w:t>私人有限公司（“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目标公司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”）的单独控制权。</w:t>
            </w:r>
          </w:p>
          <w:p w14:paraId="4E450F60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本交易前，目标公司由卖方全资拥有并单独控制。本交易完成后，熙维将通过其间接控制的特殊目的公司对目标公司进行单独控制。</w:t>
            </w:r>
          </w:p>
        </w:tc>
      </w:tr>
      <w:tr w:rsidR="00FB44C3" w14:paraId="15F1FBA6" w14:textId="77777777" w:rsidTr="004B1245">
        <w:trPr>
          <w:cantSplit/>
          <w:trHeight w:val="468"/>
        </w:trPr>
        <w:tc>
          <w:tcPr>
            <w:tcW w:w="1724" w:type="dxa"/>
            <w:vMerge w:val="restart"/>
            <w:shd w:val="clear" w:color="auto" w:fill="D9D9D9"/>
          </w:tcPr>
          <w:p w14:paraId="23AD89B6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493" w:type="dxa"/>
            <w:shd w:val="clear" w:color="auto" w:fill="auto"/>
          </w:tcPr>
          <w:p w14:paraId="5388C735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sz w:val="24"/>
                <w:szCs w:val="24"/>
              </w:rPr>
              <w:t>熙维</w:t>
            </w:r>
          </w:p>
        </w:tc>
        <w:tc>
          <w:tcPr>
            <w:tcW w:w="5514" w:type="dxa"/>
            <w:shd w:val="clear" w:color="auto" w:fill="auto"/>
          </w:tcPr>
          <w:p w14:paraId="414F3005" w14:textId="77777777" w:rsidR="00FB44C3" w:rsidRPr="003A3C27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熙维于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2008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26</w:t>
            </w:r>
            <w:r>
              <w:rPr>
                <w:rFonts w:ascii="Times New Roman" w:hAnsi="Times New Roman" w:hint="eastAsia"/>
                <w:sz w:val="24"/>
                <w:szCs w:val="24"/>
              </w:rPr>
              <w:t>日成立于卢森堡。熙维及熙维网络的业务活动包括为熙维基金提供投资咨询和</w:t>
            </w:r>
            <w:r>
              <w:rPr>
                <w:rFonts w:ascii="Times New Roman" w:hAnsi="Times New Roman" w:hint="eastAsia"/>
                <w:sz w:val="24"/>
                <w:szCs w:val="24"/>
              </w:rPr>
              <w:t>/</w:t>
            </w:r>
            <w:r>
              <w:rPr>
                <w:rFonts w:ascii="Times New Roman" w:hAnsi="Times New Roman" w:hint="eastAsia"/>
                <w:sz w:val="24"/>
                <w:szCs w:val="24"/>
              </w:rPr>
              <w:t>或代表熙维基金管理投资。熙维基金持有各种行业内大量公司的股权，包括化工、制造、零售和经销、公共事业等行业，这些公司主要位于欧洲、美国和亚太地区。有关熙维网络业务的更多信息，请参见其网站</w:t>
            </w:r>
            <w:hyperlink r:id="rId5" w:history="1">
              <w:r>
                <w:rPr>
                  <w:rStyle w:val="Hyperlink"/>
                  <w:rFonts w:ascii="Times New Roman" w:hAnsi="Times New Roman" w:hint="eastAsia"/>
                  <w:color w:val="auto"/>
                  <w:sz w:val="24"/>
                  <w:szCs w:val="24"/>
                  <w:u w:val="none"/>
                </w:rPr>
                <w:t>http://www.cvc.com/</w:t>
              </w:r>
            </w:hyperlink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FB44C3" w14:paraId="5E593697" w14:textId="77777777" w:rsidTr="004B1245">
        <w:trPr>
          <w:cantSplit/>
          <w:trHeight w:val="468"/>
        </w:trPr>
        <w:tc>
          <w:tcPr>
            <w:tcW w:w="1724" w:type="dxa"/>
            <w:vMerge/>
            <w:shd w:val="clear" w:color="auto" w:fill="D9D9D9"/>
          </w:tcPr>
          <w:p w14:paraId="7F4FBBE2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93" w:type="dxa"/>
            <w:shd w:val="clear" w:color="auto" w:fill="auto"/>
          </w:tcPr>
          <w:p w14:paraId="30E7D03A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sz w:val="24"/>
                <w:szCs w:val="24"/>
              </w:rPr>
              <w:t>目标公司</w:t>
            </w:r>
          </w:p>
        </w:tc>
        <w:tc>
          <w:tcPr>
            <w:tcW w:w="5514" w:type="dxa"/>
            <w:shd w:val="clear" w:color="auto" w:fill="auto"/>
          </w:tcPr>
          <w:p w14:paraId="482C161D" w14:textId="77777777" w:rsidR="00FB44C3" w:rsidRPr="003A3C27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目标公司</w:t>
            </w:r>
            <w:r w:rsidRPr="000451B6">
              <w:rPr>
                <w:rFonts w:ascii="Times New Roman" w:hAnsi="Times New Roman" w:hint="eastAsia"/>
                <w:sz w:val="24"/>
                <w:szCs w:val="24"/>
              </w:rPr>
              <w:t>为联合利华公众有限公司（“</w:t>
            </w:r>
            <w:r w:rsidRPr="000451B6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联合利华</w:t>
            </w:r>
            <w:r w:rsidRPr="000451B6">
              <w:rPr>
                <w:rFonts w:ascii="Times New Roman" w:hAnsi="Times New Roman" w:hint="eastAsia"/>
                <w:sz w:val="24"/>
                <w:szCs w:val="24"/>
              </w:rPr>
              <w:t>”）的间接全资子公司。目标公司和其子公司开展茶类业务。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有关目标公司的更多信息，请参见</w:t>
            </w:r>
            <w:hyperlink r:id="rId6" w:history="1">
              <w:r w:rsidRPr="00D92419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https://ekaterratea.com/</w:t>
              </w:r>
            </w:hyperlink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FB44C3" w14:paraId="4C942E4E" w14:textId="77777777" w:rsidTr="004B1245">
        <w:trPr>
          <w:cantSplit/>
          <w:trHeight w:val="279"/>
        </w:trPr>
        <w:tc>
          <w:tcPr>
            <w:tcW w:w="1724" w:type="dxa"/>
            <w:vMerge w:val="restart"/>
            <w:shd w:val="clear" w:color="auto" w:fill="D9D9D9"/>
          </w:tcPr>
          <w:p w14:paraId="1F9039D1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007" w:type="dxa"/>
            <w:gridSpan w:val="2"/>
            <w:shd w:val="clear" w:color="auto" w:fill="auto"/>
          </w:tcPr>
          <w:p w14:paraId="7B06BD2C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eastAsia="黑体" w:hAnsi="Wingdings"/>
                <w:sz w:val="24"/>
                <w:szCs w:val="24"/>
              </w:rPr>
              <w:sym w:font="Wingdings" w:char="F0A8"/>
            </w:r>
            <w:r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>
              <w:rPr>
                <w:rFonts w:ascii="Times New Roman" w:hAnsi="Times New Roman"/>
                <w:sz w:val="24"/>
                <w:szCs w:val="24"/>
              </w:rPr>
              <w:t>15%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B44C3" w14:paraId="51B7787B" w14:textId="77777777" w:rsidTr="004B1245">
        <w:trPr>
          <w:cantSplit/>
          <w:trHeight w:val="330"/>
        </w:trPr>
        <w:tc>
          <w:tcPr>
            <w:tcW w:w="1724" w:type="dxa"/>
            <w:vMerge/>
            <w:shd w:val="clear" w:color="auto" w:fill="D9D9D9"/>
          </w:tcPr>
          <w:p w14:paraId="6BC140C6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7" w:type="dxa"/>
            <w:gridSpan w:val="2"/>
            <w:shd w:val="clear" w:color="auto" w:fill="auto"/>
          </w:tcPr>
          <w:p w14:paraId="6FDECEFB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eastAsia="黑体" w:hAnsi="Wingdings"/>
                <w:sz w:val="24"/>
                <w:szCs w:val="24"/>
              </w:rPr>
              <w:sym w:font="Wingdings" w:char="F0A8"/>
            </w:r>
            <w:r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>
              <w:rPr>
                <w:rFonts w:ascii="Times New Roman" w:hAnsi="Times New Roman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B44C3" w14:paraId="4E0C8C36" w14:textId="77777777" w:rsidTr="004B1245">
        <w:trPr>
          <w:cantSplit/>
          <w:trHeight w:val="285"/>
        </w:trPr>
        <w:tc>
          <w:tcPr>
            <w:tcW w:w="1724" w:type="dxa"/>
            <w:vMerge/>
            <w:shd w:val="clear" w:color="auto" w:fill="D9D9D9"/>
          </w:tcPr>
          <w:p w14:paraId="0695E5EC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7" w:type="dxa"/>
            <w:gridSpan w:val="2"/>
            <w:shd w:val="clear" w:color="auto" w:fill="auto"/>
          </w:tcPr>
          <w:p w14:paraId="3FA23D0A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hAnsi="Wingdings"/>
                <w:sz w:val="24"/>
                <w:szCs w:val="24"/>
              </w:rPr>
              <w:sym w:font="Wingdings" w:char="F0FE"/>
            </w:r>
            <w:r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sz w:val="24"/>
                <w:szCs w:val="24"/>
              </w:rPr>
              <w:t>25%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B44C3" w14:paraId="04D60A54" w14:textId="77777777" w:rsidTr="004B1245">
        <w:trPr>
          <w:cantSplit/>
          <w:trHeight w:val="870"/>
        </w:trPr>
        <w:tc>
          <w:tcPr>
            <w:tcW w:w="1724" w:type="dxa"/>
            <w:vMerge/>
            <w:shd w:val="clear" w:color="auto" w:fill="D9D9D9"/>
          </w:tcPr>
          <w:p w14:paraId="526BDCD1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7" w:type="dxa"/>
            <w:gridSpan w:val="2"/>
            <w:shd w:val="clear" w:color="auto" w:fill="auto"/>
          </w:tcPr>
          <w:p w14:paraId="0F0318AB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eastAsia="黑体" w:hAnsi="Wingdings"/>
                <w:sz w:val="24"/>
                <w:szCs w:val="24"/>
              </w:rPr>
              <w:sym w:font="Wingdings" w:char="F0A8"/>
            </w:r>
            <w:r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B44C3" w14:paraId="2A74AA25" w14:textId="77777777" w:rsidTr="004B1245">
        <w:trPr>
          <w:cantSplit/>
          <w:trHeight w:val="264"/>
        </w:trPr>
        <w:tc>
          <w:tcPr>
            <w:tcW w:w="1724" w:type="dxa"/>
            <w:vMerge/>
            <w:shd w:val="clear" w:color="auto" w:fill="D9D9D9"/>
          </w:tcPr>
          <w:p w14:paraId="2256E074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7" w:type="dxa"/>
            <w:gridSpan w:val="2"/>
            <w:shd w:val="clear" w:color="auto" w:fill="auto"/>
          </w:tcPr>
          <w:p w14:paraId="79ED94DC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eastAsia="黑体" w:hAnsi="Wingdings"/>
                <w:sz w:val="24"/>
                <w:szCs w:val="24"/>
              </w:rPr>
              <w:sym w:font="Wingdings" w:char="F0A8"/>
            </w:r>
            <w:r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FB44C3" w14:paraId="42892174" w14:textId="77777777" w:rsidTr="004B1245">
        <w:trPr>
          <w:cantSplit/>
          <w:trHeight w:val="58"/>
        </w:trPr>
        <w:tc>
          <w:tcPr>
            <w:tcW w:w="1724" w:type="dxa"/>
            <w:vMerge/>
            <w:shd w:val="clear" w:color="auto" w:fill="D9D9D9"/>
          </w:tcPr>
          <w:p w14:paraId="58B00869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07" w:type="dxa"/>
            <w:gridSpan w:val="2"/>
            <w:shd w:val="clear" w:color="auto" w:fill="auto"/>
          </w:tcPr>
          <w:p w14:paraId="743F7C1C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Wingdings" w:eastAsia="黑体" w:hAnsi="Wingdings"/>
                <w:sz w:val="24"/>
                <w:szCs w:val="24"/>
              </w:rPr>
              <w:sym w:font="Wingdings" w:char="F0A8"/>
            </w:r>
            <w:r>
              <w:rPr>
                <w:rFonts w:ascii="Times New Roman" w:eastAsia="黑体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B44C3" w14:paraId="26939DBB" w14:textId="77777777" w:rsidTr="004B1245">
        <w:trPr>
          <w:cantSplit/>
          <w:trHeight w:val="539"/>
        </w:trPr>
        <w:tc>
          <w:tcPr>
            <w:tcW w:w="1724" w:type="dxa"/>
            <w:shd w:val="clear" w:color="auto" w:fill="D9D9D9"/>
          </w:tcPr>
          <w:p w14:paraId="21D52C8B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7007" w:type="dxa"/>
            <w:gridSpan w:val="2"/>
            <w:shd w:val="clear" w:color="auto" w:fill="auto"/>
          </w:tcPr>
          <w:p w14:paraId="0A1A9C54" w14:textId="77777777" w:rsidR="00FB44C3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相关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商品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市场：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袋泡茶、速溶茶粉</w:t>
            </w:r>
          </w:p>
          <w:p w14:paraId="39EBEF19" w14:textId="77777777" w:rsidR="00FB44C3" w:rsidRPr="001267D4" w:rsidRDefault="00FB44C3" w:rsidP="004B1245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相关地域市场：</w:t>
            </w:r>
            <w:r w:rsidRPr="00871E88">
              <w:rPr>
                <w:rFonts w:ascii="Times New Roman" w:hAnsi="Times New Roman" w:hint="eastAsia"/>
                <w:sz w:val="24"/>
                <w:szCs w:val="24"/>
              </w:rPr>
              <w:t>中国</w:t>
            </w:r>
            <w:r>
              <w:rPr>
                <w:rFonts w:ascii="Times New Roman" w:hAnsi="Times New Roman" w:hint="eastAsia"/>
                <w:sz w:val="24"/>
                <w:szCs w:val="24"/>
              </w:rPr>
              <w:t>境内</w:t>
            </w:r>
          </w:p>
          <w:p w14:paraId="2B406ED8" w14:textId="77777777" w:rsidR="00FB44C3" w:rsidRDefault="00FB44C3" w:rsidP="004B1245">
            <w:pPr>
              <w:spacing w:before="120" w:after="120"/>
              <w:rPr>
                <w:rFonts w:ascii="宋体" w:cs="宋体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宋体" w:cs="宋体" w:hint="eastAsia"/>
                <w:b/>
                <w:bCs/>
                <w:kern w:val="0"/>
                <w:sz w:val="24"/>
                <w:szCs w:val="24"/>
                <w:lang w:val="en-GB"/>
              </w:rPr>
              <w:t>市场份额：</w:t>
            </w:r>
          </w:p>
          <w:p w14:paraId="61E9295C" w14:textId="77777777" w:rsidR="00FB44C3" w:rsidRDefault="00FB44C3" w:rsidP="004B1245">
            <w:pPr>
              <w:spacing w:before="120" w:after="120"/>
              <w:rPr>
                <w:rFonts w:ascii="TimesNewRomanPSMT" w:hAnsi="TimesNewRomanPSMT" w:cs="TimesNewRomanPSMT"/>
                <w:kern w:val="0"/>
                <w:sz w:val="24"/>
                <w:szCs w:val="24"/>
                <w:lang w:val="en-GB"/>
              </w:rPr>
            </w:pPr>
            <w:r>
              <w:rPr>
                <w:rFonts w:ascii="宋体" w:cs="宋体" w:hint="eastAsia"/>
                <w:b/>
                <w:bCs/>
                <w:kern w:val="0"/>
                <w:sz w:val="24"/>
                <w:szCs w:val="24"/>
                <w:lang w:val="en-GB"/>
              </w:rPr>
              <w:t>袋泡茶：</w:t>
            </w:r>
          </w:p>
          <w:p w14:paraId="48E4A6E8" w14:textId="77777777" w:rsidR="00FB44C3" w:rsidRPr="000406E5" w:rsidRDefault="00FB44C3" w:rsidP="00FB44C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0406E5">
              <w:rPr>
                <w:rFonts w:ascii="Times New Roman" w:hAnsi="Times New Roman" w:hint="eastAsia"/>
                <w:sz w:val="24"/>
                <w:szCs w:val="24"/>
              </w:rPr>
              <w:t>熙维：</w:t>
            </w:r>
            <w:r w:rsidRPr="000406E5">
              <w:rPr>
                <w:rFonts w:ascii="Times New Roman" w:hAnsi="Times New Roman" w:hint="eastAsia"/>
                <w:sz w:val="24"/>
                <w:szCs w:val="24"/>
              </w:rPr>
              <w:t>0%</w:t>
            </w:r>
          </w:p>
          <w:p w14:paraId="06E3EF1F" w14:textId="77777777" w:rsidR="00FB44C3" w:rsidRPr="000406E5" w:rsidRDefault="00FB44C3" w:rsidP="00FB44C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0406E5">
              <w:rPr>
                <w:rFonts w:ascii="Times New Roman" w:hAnsi="Times New Roman" w:hint="eastAsia"/>
                <w:sz w:val="24"/>
                <w:szCs w:val="24"/>
              </w:rPr>
              <w:t>目标公司：</w:t>
            </w:r>
            <w:r w:rsidRPr="000406E5">
              <w:rPr>
                <w:rFonts w:ascii="Times New Roman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0406E5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0406E5">
              <w:rPr>
                <w:rFonts w:ascii="Times New Roman" w:hAnsi="Times New Roman"/>
                <w:sz w:val="24"/>
                <w:szCs w:val="24"/>
              </w:rPr>
              <w:t>]%</w:t>
            </w:r>
          </w:p>
          <w:p w14:paraId="71592DC2" w14:textId="77777777" w:rsidR="00FB44C3" w:rsidRPr="00C630FB" w:rsidRDefault="00FB44C3" w:rsidP="00FB44C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0406E5">
              <w:rPr>
                <w:rFonts w:ascii="TimesNewRomanPSMT" w:hAnsi="TimesNewRomanPSMT" w:cs="TimesNewRomanPSMT" w:hint="eastAsia"/>
                <w:sz w:val="24"/>
                <w:szCs w:val="24"/>
              </w:rPr>
              <w:t>交易双方合计：</w:t>
            </w:r>
            <w:r w:rsidRPr="000406E5">
              <w:rPr>
                <w:rFonts w:ascii="TimesNewRomanPSMT" w:hAnsi="TimesNewRomanPSMT" w:cs="TimesNewRomanPSMT" w:hint="eastAsia"/>
                <w:sz w:val="24"/>
                <w:szCs w:val="24"/>
              </w:rPr>
              <w:t>[</w:t>
            </w:r>
            <w:r>
              <w:rPr>
                <w:rFonts w:ascii="TimesNewRomanPSMT" w:hAnsi="TimesNewRomanPSMT" w:cs="TimesNewRomanPSMT" w:hint="eastAsia"/>
                <w:sz w:val="24"/>
                <w:szCs w:val="24"/>
              </w:rPr>
              <w:t>5</w:t>
            </w:r>
            <w:r w:rsidRPr="000406E5">
              <w:rPr>
                <w:rFonts w:ascii="TimesNewRomanPSMT" w:hAnsi="TimesNewRomanPSMT" w:cs="TimesNewRomanPSMT"/>
                <w:sz w:val="24"/>
                <w:szCs w:val="24"/>
              </w:rPr>
              <w:t>-</w:t>
            </w:r>
            <w:r>
              <w:rPr>
                <w:rFonts w:ascii="TimesNewRomanPSMT" w:hAnsi="TimesNewRomanPSMT" w:cs="TimesNewRomanPSMT" w:hint="eastAsia"/>
                <w:sz w:val="24"/>
                <w:szCs w:val="24"/>
              </w:rPr>
              <w:t>10</w:t>
            </w:r>
            <w:r w:rsidRPr="000406E5">
              <w:rPr>
                <w:rFonts w:ascii="TimesNewRomanPSMT" w:hAnsi="TimesNewRomanPSMT" w:cs="TimesNewRomanPSMT"/>
                <w:sz w:val="24"/>
                <w:szCs w:val="24"/>
              </w:rPr>
              <w:t>]%</w:t>
            </w:r>
          </w:p>
          <w:p w14:paraId="053D5FD8" w14:textId="77777777" w:rsidR="00FB44C3" w:rsidRDefault="00FB44C3" w:rsidP="004B1245">
            <w:pPr>
              <w:spacing w:before="120" w:after="120"/>
              <w:rPr>
                <w:rFonts w:ascii="TimesNewRomanPSMT" w:hAnsi="TimesNewRomanPSMT" w:cs="TimesNewRomanPSMT"/>
                <w:kern w:val="0"/>
                <w:sz w:val="24"/>
                <w:szCs w:val="24"/>
                <w:lang w:val="en-GB"/>
              </w:rPr>
            </w:pPr>
            <w:r>
              <w:rPr>
                <w:rFonts w:ascii="宋体" w:cs="宋体" w:hint="eastAsia"/>
                <w:b/>
                <w:bCs/>
                <w:kern w:val="0"/>
                <w:sz w:val="24"/>
                <w:szCs w:val="24"/>
                <w:lang w:val="en-GB"/>
              </w:rPr>
              <w:t>速溶茶粉：</w:t>
            </w:r>
          </w:p>
          <w:p w14:paraId="1E929865" w14:textId="77777777" w:rsidR="00FB44C3" w:rsidRPr="000406E5" w:rsidRDefault="00FB44C3" w:rsidP="00FB44C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0406E5">
              <w:rPr>
                <w:rFonts w:ascii="Times New Roman" w:hAnsi="Times New Roman" w:hint="eastAsia"/>
                <w:sz w:val="24"/>
                <w:szCs w:val="24"/>
              </w:rPr>
              <w:t>熙维：</w:t>
            </w:r>
            <w:r w:rsidRPr="000406E5">
              <w:rPr>
                <w:rFonts w:ascii="Times New Roman" w:hAnsi="Times New Roman" w:hint="eastAsia"/>
                <w:sz w:val="24"/>
                <w:szCs w:val="24"/>
              </w:rPr>
              <w:t>0%</w:t>
            </w:r>
          </w:p>
          <w:p w14:paraId="78ED13A2" w14:textId="77777777" w:rsidR="00FB44C3" w:rsidRPr="000406E5" w:rsidRDefault="00FB44C3" w:rsidP="00FB44C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0406E5">
              <w:rPr>
                <w:rFonts w:ascii="Times New Roman" w:hAnsi="Times New Roman" w:hint="eastAsia"/>
                <w:sz w:val="24"/>
                <w:szCs w:val="24"/>
              </w:rPr>
              <w:t>目标公司：</w:t>
            </w:r>
            <w:r w:rsidRPr="000406E5">
              <w:rPr>
                <w:rFonts w:ascii="Times New Roman" w:hAnsi="Times New Roman" w:hint="eastAsia"/>
                <w:sz w:val="24"/>
                <w:szCs w:val="24"/>
              </w:rPr>
              <w:t>[</w:t>
            </w:r>
            <w:r>
              <w:rPr>
                <w:rFonts w:ascii="Times New Roman" w:hAnsi="Times New Roman" w:hint="eastAsia"/>
                <w:sz w:val="24"/>
                <w:szCs w:val="24"/>
              </w:rPr>
              <w:t>0</w:t>
            </w:r>
            <w:r w:rsidRPr="000406E5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0406E5">
              <w:rPr>
                <w:rFonts w:ascii="Times New Roman" w:hAnsi="Times New Roman"/>
                <w:sz w:val="24"/>
                <w:szCs w:val="24"/>
              </w:rPr>
              <w:t>]%</w:t>
            </w:r>
          </w:p>
          <w:p w14:paraId="3A172FDA" w14:textId="77777777" w:rsidR="00FB44C3" w:rsidRPr="00C630FB" w:rsidRDefault="00FB44C3" w:rsidP="00FB44C3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  <w:r w:rsidRPr="000406E5">
              <w:rPr>
                <w:rFonts w:ascii="TimesNewRomanPSMT" w:hAnsi="TimesNewRomanPSMT" w:cs="TimesNewRomanPSMT" w:hint="eastAsia"/>
                <w:sz w:val="24"/>
                <w:szCs w:val="24"/>
              </w:rPr>
              <w:t>交易双方合计：</w:t>
            </w:r>
            <w:r w:rsidRPr="000406E5">
              <w:rPr>
                <w:rFonts w:ascii="TimesNewRomanPSMT" w:hAnsi="TimesNewRomanPSMT" w:cs="TimesNewRomanPSMT" w:hint="eastAsia"/>
                <w:sz w:val="24"/>
                <w:szCs w:val="24"/>
              </w:rPr>
              <w:t>[</w:t>
            </w:r>
            <w:r>
              <w:rPr>
                <w:rFonts w:ascii="TimesNewRomanPSMT" w:hAnsi="TimesNewRomanPSMT" w:cs="TimesNewRomanPSMT" w:hint="eastAsia"/>
                <w:sz w:val="24"/>
                <w:szCs w:val="24"/>
              </w:rPr>
              <w:t>0</w:t>
            </w:r>
            <w:r w:rsidRPr="000406E5">
              <w:rPr>
                <w:rFonts w:ascii="TimesNewRomanPSMT" w:hAnsi="TimesNewRomanPSMT" w:cs="TimesNewRomanPSMT"/>
                <w:sz w:val="24"/>
                <w:szCs w:val="24"/>
              </w:rPr>
              <w:t>-</w:t>
            </w:r>
            <w:r>
              <w:rPr>
                <w:rFonts w:ascii="TimesNewRomanPSMT" w:hAnsi="TimesNewRomanPSMT" w:cs="TimesNewRomanPSMT" w:hint="eastAsia"/>
                <w:sz w:val="24"/>
                <w:szCs w:val="24"/>
              </w:rPr>
              <w:t>5</w:t>
            </w:r>
            <w:r w:rsidRPr="000406E5">
              <w:rPr>
                <w:rFonts w:ascii="TimesNewRomanPSMT" w:hAnsi="TimesNewRomanPSMT" w:cs="TimesNewRomanPSMT"/>
                <w:sz w:val="24"/>
                <w:szCs w:val="24"/>
              </w:rPr>
              <w:t>]%</w:t>
            </w:r>
          </w:p>
        </w:tc>
      </w:tr>
    </w:tbl>
    <w:p w14:paraId="0816D91E" w14:textId="77777777" w:rsidR="00FB44C3" w:rsidRDefault="00FB44C3" w:rsidP="00FB44C3">
      <w:pPr>
        <w:rPr>
          <w:sz w:val="24"/>
        </w:rPr>
      </w:pPr>
    </w:p>
    <w:p w14:paraId="4F98E1DF" w14:textId="77777777" w:rsidR="007D5E61" w:rsidRDefault="007D5E61"/>
    <w:sectPr w:rsidR="007D5E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0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A3CDE" w14:textId="77777777" w:rsidR="00C90B30" w:rsidRDefault="00FB44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A32B8" w14:textId="77777777" w:rsidR="00C90B30" w:rsidRDefault="00FB44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D26A8" w14:textId="77777777" w:rsidR="00C90B30" w:rsidRDefault="00FB44C3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400A1" w14:textId="77777777" w:rsidR="00C90B30" w:rsidRDefault="00FB44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EFD17" w14:textId="77777777" w:rsidR="00C90B30" w:rsidRDefault="00FB44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39DFF" w14:textId="77777777" w:rsidR="00C90B30" w:rsidRDefault="00FB44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6133A4"/>
    <w:multiLevelType w:val="hybridMultilevel"/>
    <w:tmpl w:val="CAF4A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5F"/>
    <w:rsid w:val="000D4057"/>
    <w:rsid w:val="00102A0A"/>
    <w:rsid w:val="001D155F"/>
    <w:rsid w:val="00596B05"/>
    <w:rsid w:val="00701E3E"/>
    <w:rsid w:val="00795B70"/>
    <w:rsid w:val="007D5E61"/>
    <w:rsid w:val="008409C6"/>
    <w:rsid w:val="00A45232"/>
    <w:rsid w:val="00AE4FA1"/>
    <w:rsid w:val="00B82A53"/>
    <w:rsid w:val="00BC1FC6"/>
    <w:rsid w:val="00BF6EBD"/>
    <w:rsid w:val="00C03B64"/>
    <w:rsid w:val="00C1232D"/>
    <w:rsid w:val="00C51888"/>
    <w:rsid w:val="00FB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38AE26-972C-46BC-B472-CFD44156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4C3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B44C3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FB44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B44C3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Footer">
    <w:name w:val="footer"/>
    <w:basedOn w:val="Normal"/>
    <w:link w:val="FooterChar"/>
    <w:uiPriority w:val="99"/>
    <w:unhideWhenUsed/>
    <w:rsid w:val="00FB44C3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FB44C3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ListParagraph">
    <w:name w:val="List Paragraph"/>
    <w:basedOn w:val="Normal"/>
    <w:uiPriority w:val="34"/>
    <w:qFormat/>
    <w:rsid w:val="00FB4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katerratea.com/" TargetMode="External"/><Relationship Id="rId11" Type="http://schemas.openxmlformats.org/officeDocument/2006/relationships/header" Target="header3.xml"/><Relationship Id="rId5" Type="http://schemas.openxmlformats.org/officeDocument/2006/relationships/hyperlink" Target="http://www.cvc.com/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DaHui Lawyers</dc:creator>
  <cp:keywords/>
  <dc:description/>
  <cp:lastModifiedBy>DaHui Lawyers</cp:lastModifiedBy>
  <cp:revision>2</cp:revision>
  <dcterms:created xsi:type="dcterms:W3CDTF">2021-12-31T06:03:00Z</dcterms:created>
  <dcterms:modified xsi:type="dcterms:W3CDTF">2021-12-31T06:03:00Z</dcterms:modified>
</cp:coreProperties>
</file>