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Arial" w:hAnsi="Arial" w:eastAsia="宋体" w:cs="Arial"/>
          <w:sz w:val="28"/>
          <w:szCs w:val="28"/>
        </w:rPr>
      </w:pPr>
    </w:p>
    <w:p>
      <w:pPr>
        <w:spacing w:line="440" w:lineRule="exact"/>
        <w:jc w:val="center"/>
        <w:rPr>
          <w:rFonts w:ascii="Arial" w:hAnsi="Arial" w:eastAsia="宋体" w:cs="Arial"/>
          <w:b/>
          <w:sz w:val="30"/>
          <w:szCs w:val="30"/>
        </w:rPr>
      </w:pPr>
      <w:r>
        <w:rPr>
          <w:rFonts w:ascii="Arial" w:hAnsi="Arial" w:eastAsia="宋体" w:cs="Arial"/>
          <w:b/>
          <w:sz w:val="30"/>
          <w:szCs w:val="30"/>
        </w:rPr>
        <w:t>经营者集中简易案件公示表</w:t>
      </w:r>
    </w:p>
    <w:p>
      <w:pPr>
        <w:spacing w:line="440" w:lineRule="exact"/>
        <w:rPr>
          <w:rFonts w:ascii="Arial" w:hAnsi="Arial" w:eastAsia="宋体" w:cs="Arial"/>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案件名称</w:t>
            </w:r>
          </w:p>
        </w:tc>
        <w:tc>
          <w:tcPr>
            <w:tcW w:w="6949" w:type="dxa"/>
            <w:gridSpan w:val="2"/>
          </w:tcPr>
          <w:p>
            <w:pPr>
              <w:widowControl/>
              <w:snapToGrid w:val="0"/>
              <w:jc w:val="left"/>
              <w:rPr>
                <w:rFonts w:ascii="Arial" w:hAnsi="Arial" w:eastAsia="宋体" w:cs="Arial"/>
              </w:rPr>
            </w:pPr>
            <w:r>
              <w:rPr>
                <w:rFonts w:hint="eastAsia"/>
              </w:rPr>
              <w:t>雅迪科技集团有限公司收购界首市南都华宇电源有限公司等两家公司股权案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交易概况（限200字内）</w:t>
            </w:r>
          </w:p>
        </w:tc>
        <w:tc>
          <w:tcPr>
            <w:tcW w:w="6949" w:type="dxa"/>
            <w:gridSpan w:val="2"/>
          </w:tcPr>
          <w:p>
            <w:pPr>
              <w:widowControl/>
              <w:snapToGrid w:val="0"/>
              <w:jc w:val="left"/>
              <w:rPr>
                <w:rFonts w:ascii="Arial" w:hAnsi="Arial" w:eastAsia="宋体" w:cs="Arial"/>
              </w:rPr>
            </w:pPr>
            <w:r>
              <w:rPr>
                <w:rFonts w:ascii="Arial" w:hAnsi="Arial" w:eastAsia="宋体" w:cs="Arial"/>
              </w:rPr>
              <w:t>2021</w:t>
            </w:r>
            <w:r>
              <w:rPr>
                <w:rFonts w:hint="eastAsia" w:ascii="Arial" w:hAnsi="Arial" w:eastAsia="宋体" w:cs="Arial"/>
              </w:rPr>
              <w:t>年12月17日，雅迪科技集团有限公司（“雅迪”）、浙江南都电源动力有限公司（“浙江南都”）与滨州博涵企业管理咨询合伙企业（有限合伙）（“滨州博涵”）签署了《股权收购</w:t>
            </w:r>
            <w:r>
              <w:rPr>
                <w:rFonts w:ascii="Arial" w:hAnsi="Arial" w:eastAsia="宋体" w:cs="Arial"/>
              </w:rPr>
              <w:t>协议</w:t>
            </w:r>
            <w:r>
              <w:rPr>
                <w:rFonts w:hint="eastAsia" w:ascii="Arial" w:hAnsi="Arial" w:eastAsia="宋体" w:cs="Arial"/>
              </w:rPr>
              <w:t>》，确认浙江南都将其对界首市南都华宇电源有限公司（“南都华宇”）和浙江长兴南都电源有限公司（“长兴南都”）各持有51%中的21%股份转给雅迪，滨州博涵将其对南都华宇持有和长兴南都各49%的股份转让给雅迪。合计交易价格为人民币31150万元。本次交易后，滨州博涵完全退出，雅迪持有南都华宇和长兴南都各70%的股份</w:t>
            </w:r>
            <w:bookmarkStart w:id="0" w:name="OLE_LINK1"/>
            <w:bookmarkStart w:id="1" w:name="OLE_LINK2"/>
            <w:r>
              <w:rPr>
                <w:rFonts w:hint="eastAsia" w:ascii="Arial" w:hAnsi="Arial" w:eastAsia="宋体" w:cs="Arial"/>
              </w:rPr>
              <w:t>，浙江南都电源动力股份有限公司持有各目标公司30%的股份。交易前，浙江南都电源动力股份有限公司和滨州博涵企业管理咨询合伙企业（有限合伙）共同控制目标公司。交易后，滨州博涵企业管理咨询合伙企业（有限合伙）完全退出，浙江南都电源动力股份有限公司也不再具有控制权。</w:t>
            </w:r>
            <w:bookmarkEnd w:id="0"/>
            <w:bookmarkEnd w:id="1"/>
            <w:r>
              <w:rPr>
                <w:rFonts w:hint="eastAsia" w:ascii="Arial" w:hAnsi="Arial" w:eastAsia="宋体" w:cs="Arial"/>
              </w:rPr>
              <w:t>雅迪科技集团有限公司最终将取得对目标公司的单独</w:t>
            </w:r>
            <w:r>
              <w:rPr>
                <w:rFonts w:ascii="Arial" w:hAnsi="Arial" w:eastAsia="宋体" w:cs="Arial"/>
              </w:rPr>
              <w:t>控制</w:t>
            </w:r>
            <w:r>
              <w:rPr>
                <w:rFonts w:hint="eastAsia" w:ascii="Arial" w:hAnsi="Arial" w:eastAsia="宋体" w:cs="Arial"/>
              </w:rPr>
              <w:t>权</w:t>
            </w:r>
            <w:r>
              <w:rPr>
                <w:rFonts w:ascii="Arial" w:hAnsi="Arial" w:eastAsia="宋体"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1809" w:type="dxa"/>
            <w:vMerge w:val="restart"/>
            <w:shd w:val="clear" w:color="auto" w:fill="D8D8D8" w:themeFill="background1" w:themeFillShade="D9"/>
          </w:tcPr>
          <w:p>
            <w:pPr>
              <w:spacing w:line="500" w:lineRule="exact"/>
              <w:jc w:val="center"/>
              <w:rPr>
                <w:rFonts w:ascii="Arial" w:hAnsi="Arial" w:eastAsia="宋体" w:cs="Arial"/>
                <w:sz w:val="24"/>
                <w:szCs w:val="24"/>
              </w:rPr>
            </w:pPr>
            <w:r>
              <w:rPr>
                <w:rFonts w:ascii="Arial" w:hAnsi="Arial" w:eastAsia="宋体" w:cs="Arial"/>
                <w:sz w:val="24"/>
                <w:szCs w:val="24"/>
              </w:rPr>
              <w:t>参与集中的经营者简介</w:t>
            </w:r>
          </w:p>
        </w:tc>
        <w:tc>
          <w:tcPr>
            <w:tcW w:w="1796" w:type="dxa"/>
            <w:vAlign w:val="center"/>
          </w:tcPr>
          <w:p>
            <w:pPr>
              <w:widowControl/>
              <w:snapToGrid w:val="0"/>
              <w:jc w:val="left"/>
              <w:rPr>
                <w:rFonts w:ascii="Arial" w:hAnsi="Arial" w:eastAsia="宋体" w:cs="Arial"/>
              </w:rPr>
            </w:pPr>
            <w:r>
              <w:rPr>
                <w:rFonts w:hint="eastAsia" w:ascii="Arial" w:hAnsi="Arial" w:eastAsia="宋体" w:cs="Arial"/>
              </w:rPr>
              <w:t>雅迪科技集团有限公司</w:t>
            </w:r>
          </w:p>
        </w:tc>
        <w:tc>
          <w:tcPr>
            <w:tcW w:w="5153" w:type="dxa"/>
            <w:vAlign w:val="center"/>
          </w:tcPr>
          <w:p>
            <w:pPr>
              <w:widowControl/>
              <w:snapToGrid w:val="0"/>
              <w:jc w:val="left"/>
              <w:rPr>
                <w:rFonts w:ascii="Arial" w:hAnsi="Arial" w:eastAsia="宋体" w:cs="Arial"/>
              </w:rPr>
            </w:pPr>
            <w:bookmarkStart w:id="2" w:name="_Toc356809686"/>
            <w:r>
              <w:rPr>
                <w:rFonts w:ascii="Arial" w:hAnsi="Arial" w:eastAsia="宋体" w:cs="Arial"/>
              </w:rPr>
              <w:t>一家于</w:t>
            </w:r>
            <w:r>
              <w:rPr>
                <w:rFonts w:hint="eastAsia" w:ascii="Arial" w:hAnsi="Arial" w:eastAsia="宋体" w:cs="Arial"/>
              </w:rPr>
              <w:t>2010年12月17日在中国江苏省无锡市注册成立的有限责任公司，主要从事两轮电动车的制造和销售。</w:t>
            </w:r>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36" w:hRule="atLeast"/>
        </w:trPr>
        <w:tc>
          <w:tcPr>
            <w:tcW w:w="1809" w:type="dxa"/>
            <w:vMerge w:val="continue"/>
            <w:tcBorders/>
            <w:shd w:val="clear" w:color="auto" w:fill="D8D8D8" w:themeFill="background1" w:themeFillShade="D9"/>
          </w:tcPr>
          <w:p>
            <w:pPr>
              <w:spacing w:line="500" w:lineRule="exact"/>
              <w:rPr>
                <w:rFonts w:ascii="Arial" w:hAnsi="Arial" w:eastAsia="宋体" w:cs="Arial"/>
                <w:sz w:val="24"/>
                <w:szCs w:val="24"/>
              </w:rPr>
            </w:pPr>
          </w:p>
        </w:tc>
        <w:tc>
          <w:tcPr>
            <w:tcW w:w="1796" w:type="dxa"/>
            <w:vAlign w:val="center"/>
          </w:tcPr>
          <w:p>
            <w:pPr>
              <w:widowControl/>
              <w:snapToGrid w:val="0"/>
              <w:jc w:val="left"/>
              <w:rPr>
                <w:rFonts w:ascii="Arial" w:hAnsi="Arial" w:eastAsia="宋体" w:cs="Arial"/>
              </w:rPr>
            </w:pPr>
            <w:r>
              <w:rPr>
                <w:rFonts w:hint="eastAsia" w:ascii="Arial" w:hAnsi="Arial" w:eastAsia="宋体" w:cs="Arial"/>
              </w:rPr>
              <w:t>界首市南都华宇电源有限公司</w:t>
            </w:r>
          </w:p>
        </w:tc>
        <w:tc>
          <w:tcPr>
            <w:tcW w:w="5153" w:type="dxa"/>
          </w:tcPr>
          <w:p>
            <w:pPr>
              <w:widowControl/>
              <w:snapToGrid w:val="0"/>
              <w:jc w:val="left"/>
              <w:rPr>
                <w:rFonts w:ascii="Arial" w:hAnsi="Arial" w:eastAsia="宋体" w:cs="Arial"/>
              </w:rPr>
            </w:pPr>
            <w:r>
              <w:rPr>
                <w:rFonts w:ascii="Arial" w:hAnsi="Arial" w:eastAsia="宋体" w:cs="Arial"/>
              </w:rPr>
              <w:t>一家于</w:t>
            </w:r>
            <w:r>
              <w:rPr>
                <w:rFonts w:hint="eastAsia" w:ascii="Arial" w:hAnsi="Arial" w:eastAsia="宋体" w:cs="Arial"/>
              </w:rPr>
              <w:t>2008年11月12日在中国安徽省界首市</w:t>
            </w:r>
            <w:r>
              <w:rPr>
                <w:rFonts w:ascii="Arial" w:hAnsi="Arial" w:eastAsia="宋体" w:cs="Arial"/>
              </w:rPr>
              <w:t>注册成立的有限责任公司，主要</w:t>
            </w:r>
            <w:r>
              <w:rPr>
                <w:rFonts w:hint="eastAsia" w:ascii="Arial" w:hAnsi="Arial" w:eastAsia="宋体" w:cs="Arial"/>
              </w:rPr>
              <w:t>从事蓄电池生产和销售</w:t>
            </w:r>
            <w:r>
              <w:rPr>
                <w:rFonts w:ascii="Arial" w:hAnsi="Arial" w:eastAsia="宋体"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809" w:type="dxa"/>
            <w:vMerge w:val="continue"/>
            <w:tcBorders/>
            <w:shd w:val="clear" w:color="auto" w:fill="D8D8D8" w:themeFill="background1" w:themeFillShade="D9"/>
          </w:tcPr>
          <w:p>
            <w:pPr>
              <w:widowControl/>
              <w:snapToGrid w:val="0"/>
              <w:jc w:val="left"/>
              <w:rPr>
                <w:rFonts w:ascii="Arial" w:hAnsi="Arial" w:eastAsia="宋体" w:cs="Arial"/>
              </w:rPr>
            </w:pPr>
          </w:p>
        </w:tc>
        <w:tc>
          <w:tcPr>
            <w:tcW w:w="1796" w:type="dxa"/>
            <w:vAlign w:val="center"/>
          </w:tcPr>
          <w:p>
            <w:pPr>
              <w:widowControl/>
              <w:snapToGrid w:val="0"/>
              <w:jc w:val="left"/>
              <w:rPr>
                <w:rFonts w:ascii="Arial" w:hAnsi="Arial" w:eastAsia="宋体" w:cs="Arial"/>
              </w:rPr>
            </w:pPr>
            <w:r>
              <w:rPr>
                <w:rFonts w:hint="eastAsia" w:ascii="Arial" w:hAnsi="Arial" w:eastAsia="宋体" w:cs="Arial"/>
              </w:rPr>
              <w:t>浙江长兴南都电源有限公司</w:t>
            </w:r>
          </w:p>
        </w:tc>
        <w:tc>
          <w:tcPr>
            <w:tcW w:w="5153" w:type="dxa"/>
          </w:tcPr>
          <w:p>
            <w:pPr>
              <w:widowControl/>
              <w:snapToGrid w:val="0"/>
              <w:jc w:val="left"/>
              <w:rPr>
                <w:rFonts w:ascii="Arial" w:hAnsi="Arial" w:eastAsia="宋体" w:cs="Arial"/>
              </w:rPr>
            </w:pPr>
            <w:r>
              <w:rPr>
                <w:rFonts w:ascii="Arial" w:hAnsi="Arial" w:eastAsia="宋体" w:cs="Arial"/>
              </w:rPr>
              <w:t>一家于</w:t>
            </w:r>
            <w:r>
              <w:rPr>
                <w:rFonts w:hint="eastAsia" w:ascii="Arial" w:hAnsi="Arial" w:eastAsia="宋体" w:cs="Arial"/>
              </w:rPr>
              <w:t>2006年4月4日在中国浙江省湖州市</w:t>
            </w:r>
            <w:r>
              <w:rPr>
                <w:rFonts w:ascii="Arial" w:hAnsi="Arial" w:eastAsia="宋体" w:cs="Arial"/>
              </w:rPr>
              <w:t>注册成立的有限责任公司，主要</w:t>
            </w:r>
            <w:r>
              <w:rPr>
                <w:rFonts w:hint="eastAsia" w:ascii="Arial" w:hAnsi="Arial" w:eastAsia="宋体" w:cs="Arial"/>
              </w:rPr>
              <w:t>从事浙江南都铅蓄电池销售</w:t>
            </w:r>
            <w:r>
              <w:rPr>
                <w:rFonts w:ascii="Arial" w:hAnsi="Arial" w:eastAsia="宋体"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宋体" w:cs="Arial"/>
                <w:sz w:val="24"/>
                <w:szCs w:val="24"/>
              </w:rPr>
            </w:pPr>
            <w:r>
              <w:rPr>
                <w:rFonts w:ascii="Arial" w:hAnsi="Arial" w:eastAsia="宋体" w:cs="Arial"/>
                <w:sz w:val="24"/>
                <w:szCs w:val="24"/>
              </w:rPr>
              <w:t>简易案件理由（可多选）</w:t>
            </w: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24"/>
                <w:szCs w:val="24"/>
              </w:rPr>
              <w:sym w:font="Wingdings 2" w:char="0052"/>
            </w:r>
            <w:r>
              <w:rPr>
                <w:rFonts w:ascii="Arial" w:hAnsi="Arial" w:eastAsia="宋体" w:cs="Arial"/>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备注</w:t>
            </w:r>
          </w:p>
        </w:tc>
        <w:tc>
          <w:tcPr>
            <w:tcW w:w="6949" w:type="dxa"/>
            <w:gridSpan w:val="2"/>
          </w:tcPr>
          <w:p>
            <w:pPr>
              <w:widowControl/>
              <w:snapToGrid w:val="0"/>
              <w:jc w:val="left"/>
            </w:pPr>
            <w:r>
              <w:t>本项交易涉及以下相关市场：</w:t>
            </w:r>
          </w:p>
          <w:p>
            <w:pPr>
              <w:widowControl/>
              <w:snapToGrid w:val="0"/>
              <w:jc w:val="left"/>
            </w:pPr>
            <w:r>
              <w:t>产品市场：</w:t>
            </w:r>
            <w:r>
              <w:rPr>
                <w:rFonts w:hint="eastAsia"/>
              </w:rPr>
              <w:t>两轮电动车铅酸蓄电池、电动摩托车（电摩）、电动自行车（电自）</w:t>
            </w:r>
          </w:p>
          <w:p>
            <w:pPr>
              <w:widowControl/>
              <w:snapToGrid w:val="0"/>
              <w:jc w:val="left"/>
            </w:pPr>
            <w:r>
              <w:t>地域市场：中国</w:t>
            </w:r>
          </w:p>
          <w:p>
            <w:pPr>
              <w:widowControl/>
              <w:snapToGrid w:val="0"/>
              <w:jc w:val="left"/>
            </w:pPr>
            <w:r>
              <w:t>市场份额：</w:t>
            </w:r>
          </w:p>
          <w:tbl>
            <w:tblPr>
              <w:tblStyle w:val="6"/>
              <w:tblpPr w:leftFromText="180" w:rightFromText="180" w:vertAnchor="text" w:horzAnchor="page" w:tblpX="23" w:tblpY="352"/>
              <w:tblOverlap w:val="never"/>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3690"/>
              <w:gridCol w:w="2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tcBorders>
                    <w:top w:val="single" w:color="auto" w:sz="4" w:space="0"/>
                    <w:left w:val="single" w:color="auto" w:sz="4" w:space="0"/>
                    <w:bottom w:val="single" w:color="auto" w:sz="4" w:space="0"/>
                    <w:right w:val="single" w:color="auto" w:sz="4" w:space="0"/>
                  </w:tcBorders>
                </w:tcPr>
                <w:p>
                  <w:pPr>
                    <w:widowControl/>
                    <w:snapToGrid w:val="0"/>
                    <w:jc w:val="left"/>
                    <w:rPr>
                      <w:rFonts w:ascii="宋体" w:hAnsi="宋体" w:cs="宋体"/>
                      <w:color w:val="000000"/>
                      <w:lang w:bidi="ar"/>
                    </w:rPr>
                  </w:pPr>
                  <w:r>
                    <w:rPr>
                      <w:rFonts w:ascii="宋体" w:hAnsi="宋体" w:cs="宋体"/>
                      <w:color w:val="000000"/>
                      <w:lang w:bidi="ar"/>
                    </w:rPr>
                    <w:t>相关市场</w:t>
                  </w:r>
                </w:p>
              </w:tc>
              <w:tc>
                <w:tcPr>
                  <w:tcW w:w="3690" w:type="dxa"/>
                  <w:tcBorders>
                    <w:top w:val="single" w:color="auto" w:sz="4" w:space="0"/>
                    <w:left w:val="single" w:color="auto" w:sz="4" w:space="0"/>
                    <w:bottom w:val="single" w:color="auto" w:sz="4" w:space="0"/>
                    <w:right w:val="single" w:color="auto" w:sz="4" w:space="0"/>
                  </w:tcBorders>
                </w:tcPr>
                <w:p>
                  <w:pPr>
                    <w:widowControl/>
                    <w:snapToGrid w:val="0"/>
                    <w:jc w:val="left"/>
                  </w:pPr>
                  <w:r>
                    <w:t>经营者</w:t>
                  </w:r>
                </w:p>
              </w:tc>
              <w:tc>
                <w:tcPr>
                  <w:tcW w:w="2224" w:type="dxa"/>
                  <w:tcBorders>
                    <w:top w:val="single" w:color="auto" w:sz="4" w:space="0"/>
                    <w:left w:val="single" w:color="auto" w:sz="4" w:space="0"/>
                    <w:bottom w:val="single" w:color="auto" w:sz="4" w:space="0"/>
                    <w:right w:val="single" w:color="auto" w:sz="4" w:space="0"/>
                  </w:tcBorders>
                </w:tcPr>
                <w:p>
                  <w:pPr>
                    <w:widowControl/>
                    <w:snapToGrid w:val="0"/>
                    <w:jc w:val="left"/>
                  </w:pPr>
                  <w: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tcBorders>
                    <w:top w:val="single" w:color="auto" w:sz="4" w:space="0"/>
                    <w:left w:val="single" w:color="auto" w:sz="4" w:space="0"/>
                    <w:bottom w:val="single" w:color="auto" w:sz="4" w:space="0"/>
                    <w:right w:val="single" w:color="auto" w:sz="4" w:space="0"/>
                  </w:tcBorders>
                </w:tcPr>
                <w:p>
                  <w:pPr>
                    <w:widowControl/>
                    <w:snapToGrid w:val="0"/>
                    <w:jc w:val="left"/>
                    <w:rPr>
                      <w:rFonts w:ascii="宋体" w:hAnsi="宋体" w:cs="宋体"/>
                      <w:color w:val="000000"/>
                      <w:lang w:bidi="ar"/>
                    </w:rPr>
                  </w:pPr>
                  <w:r>
                    <w:rPr>
                      <w:rFonts w:hint="eastAsia"/>
                    </w:rPr>
                    <w:t>两轮电动车铅酸蓄电池</w:t>
                  </w:r>
                </w:p>
              </w:tc>
              <w:tc>
                <w:tcPr>
                  <w:tcW w:w="3690" w:type="dxa"/>
                  <w:tcBorders>
                    <w:top w:val="single" w:color="auto" w:sz="4" w:space="0"/>
                    <w:left w:val="single" w:color="auto" w:sz="4" w:space="0"/>
                    <w:bottom w:val="single" w:color="auto" w:sz="4" w:space="0"/>
                    <w:right w:val="single" w:color="auto" w:sz="4" w:space="0"/>
                  </w:tcBorders>
                </w:tcPr>
                <w:p>
                  <w:pPr>
                    <w:widowControl/>
                    <w:snapToGrid w:val="0"/>
                    <w:jc w:val="left"/>
                  </w:pPr>
                  <w:r>
                    <w:rPr>
                      <w:rFonts w:hint="eastAsia"/>
                    </w:rPr>
                    <w:t>浙江南都电源动力有限公司（包括界首市南都华宇电源有限公司）</w:t>
                  </w:r>
                </w:p>
                <w:p>
                  <w:pPr>
                    <w:widowControl/>
                    <w:snapToGrid w:val="0"/>
                    <w:jc w:val="left"/>
                  </w:pPr>
                </w:p>
              </w:tc>
              <w:tc>
                <w:tcPr>
                  <w:tcW w:w="2224" w:type="dxa"/>
                  <w:tcBorders>
                    <w:top w:val="single" w:color="auto" w:sz="4" w:space="0"/>
                    <w:left w:val="single" w:color="auto" w:sz="4" w:space="0"/>
                    <w:bottom w:val="single" w:color="auto" w:sz="4" w:space="0"/>
                    <w:right w:val="single" w:color="auto" w:sz="4" w:space="0"/>
                  </w:tcBorders>
                  <w:vAlign w:val="center"/>
                </w:tcPr>
                <w:p>
                  <w:pPr>
                    <w:widowControl/>
                    <w:snapToGrid w:val="0"/>
                    <w:jc w:val="left"/>
                  </w:pPr>
                  <w:r>
                    <w:t xml:space="preserve"> [</w:t>
                  </w:r>
                  <w:r>
                    <w:rPr>
                      <w:rFonts w:hint="eastAsia"/>
                    </w:rPr>
                    <w:t>0</w:t>
                  </w:r>
                  <w:r>
                    <w:t>-5]</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tcBorders>
                    <w:top w:val="single" w:color="auto" w:sz="4" w:space="0"/>
                    <w:left w:val="single" w:color="auto" w:sz="4" w:space="0"/>
                    <w:bottom w:val="single" w:color="auto" w:sz="4" w:space="0"/>
                    <w:right w:val="single" w:color="auto" w:sz="4" w:space="0"/>
                  </w:tcBorders>
                </w:tcPr>
                <w:p>
                  <w:pPr>
                    <w:widowControl/>
                    <w:snapToGrid w:val="0"/>
                    <w:jc w:val="left"/>
                    <w:rPr>
                      <w:rFonts w:ascii="宋体" w:hAnsi="宋体" w:cs="宋体"/>
                      <w:color w:val="000000"/>
                      <w:lang w:bidi="ar"/>
                    </w:rPr>
                  </w:pPr>
                  <w:r>
                    <w:rPr>
                      <w:rFonts w:hint="eastAsia" w:ascii="宋体" w:hAnsi="宋体" w:cs="宋体"/>
                      <w:color w:val="000000"/>
                      <w:lang w:bidi="ar"/>
                    </w:rPr>
                    <w:t>电动摩托车（电摩）</w:t>
                  </w:r>
                </w:p>
              </w:tc>
              <w:tc>
                <w:tcPr>
                  <w:tcW w:w="3690" w:type="dxa"/>
                  <w:tcBorders>
                    <w:top w:val="single" w:color="auto" w:sz="4" w:space="0"/>
                    <w:left w:val="single" w:color="auto" w:sz="4" w:space="0"/>
                    <w:bottom w:val="single" w:color="auto" w:sz="4" w:space="0"/>
                    <w:right w:val="single" w:color="auto" w:sz="4" w:space="0"/>
                  </w:tcBorders>
                </w:tcPr>
                <w:p>
                  <w:pPr>
                    <w:widowControl/>
                    <w:snapToGrid w:val="0"/>
                    <w:jc w:val="left"/>
                  </w:pPr>
                  <w:r>
                    <w:rPr>
                      <w:rFonts w:hint="eastAsia"/>
                    </w:rPr>
                    <w:t>雅迪科技集团有限公司</w:t>
                  </w:r>
                </w:p>
              </w:tc>
              <w:tc>
                <w:tcPr>
                  <w:tcW w:w="2224" w:type="dxa"/>
                  <w:tcBorders>
                    <w:top w:val="single" w:color="auto" w:sz="4" w:space="0"/>
                    <w:left w:val="single" w:color="auto" w:sz="4" w:space="0"/>
                    <w:bottom w:val="single" w:color="auto" w:sz="4" w:space="0"/>
                    <w:right w:val="single" w:color="auto" w:sz="4" w:space="0"/>
                  </w:tcBorders>
                </w:tcPr>
                <w:p>
                  <w:pPr>
                    <w:widowControl/>
                    <w:snapToGrid w:val="0"/>
                    <w:jc w:val="left"/>
                  </w:pPr>
                  <w:r>
                    <w:t xml:space="preserve"> [</w:t>
                  </w:r>
                  <w:r>
                    <w:rPr>
                      <w:rFonts w:hint="eastAsia"/>
                    </w:rPr>
                    <w:t>1</w:t>
                  </w:r>
                  <w:r>
                    <w:t>5-19]</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tcBorders>
                    <w:top w:val="single" w:color="auto" w:sz="4" w:space="0"/>
                    <w:left w:val="single" w:color="auto" w:sz="4" w:space="0"/>
                    <w:bottom w:val="single" w:color="auto" w:sz="4" w:space="0"/>
                    <w:right w:val="single" w:color="auto" w:sz="4" w:space="0"/>
                  </w:tcBorders>
                </w:tcPr>
                <w:p>
                  <w:pPr>
                    <w:widowControl/>
                    <w:snapToGrid w:val="0"/>
                    <w:jc w:val="left"/>
                    <w:rPr>
                      <w:rFonts w:ascii="宋体" w:hAnsi="宋体" w:cs="宋体"/>
                      <w:color w:val="000000"/>
                      <w:lang w:bidi="ar"/>
                    </w:rPr>
                  </w:pPr>
                  <w:r>
                    <w:rPr>
                      <w:rFonts w:hint="eastAsia" w:ascii="宋体" w:hAnsi="宋体" w:cs="宋体"/>
                      <w:color w:val="000000"/>
                      <w:lang w:bidi="ar"/>
                    </w:rPr>
                    <w:t>电动自行车（电自）</w:t>
                  </w:r>
                </w:p>
              </w:tc>
              <w:tc>
                <w:tcPr>
                  <w:tcW w:w="3690" w:type="dxa"/>
                  <w:tcBorders>
                    <w:top w:val="single" w:color="auto" w:sz="4" w:space="0"/>
                    <w:left w:val="single" w:color="auto" w:sz="4" w:space="0"/>
                    <w:bottom w:val="single" w:color="auto" w:sz="4" w:space="0"/>
                    <w:right w:val="single" w:color="auto" w:sz="4" w:space="0"/>
                  </w:tcBorders>
                </w:tcPr>
                <w:p>
                  <w:pPr>
                    <w:widowControl/>
                    <w:snapToGrid w:val="0"/>
                    <w:jc w:val="left"/>
                  </w:pPr>
                  <w:r>
                    <w:rPr>
                      <w:rFonts w:hint="eastAsia"/>
                    </w:rPr>
                    <w:t>雅迪科技集团有限公司</w:t>
                  </w:r>
                </w:p>
              </w:tc>
              <w:tc>
                <w:tcPr>
                  <w:tcW w:w="2224" w:type="dxa"/>
                  <w:tcBorders>
                    <w:top w:val="single" w:color="auto" w:sz="4" w:space="0"/>
                    <w:left w:val="single" w:color="auto" w:sz="4" w:space="0"/>
                    <w:bottom w:val="single" w:color="auto" w:sz="4" w:space="0"/>
                    <w:right w:val="single" w:color="auto" w:sz="4" w:space="0"/>
                  </w:tcBorders>
                </w:tcPr>
                <w:p>
                  <w:pPr>
                    <w:widowControl/>
                    <w:snapToGrid w:val="0"/>
                    <w:ind w:firstLine="105" w:firstLineChars="50"/>
                    <w:jc w:val="left"/>
                  </w:pPr>
                  <w:r>
                    <w:t>[</w:t>
                  </w:r>
                  <w:r>
                    <w:rPr>
                      <w:rFonts w:hint="eastAsia"/>
                    </w:rPr>
                    <w:t>1</w:t>
                  </w:r>
                  <w:r>
                    <w:t>5-18]</w:t>
                  </w:r>
                  <w:r>
                    <w:rPr>
                      <w:rFonts w:hint="eastAsia"/>
                    </w:rPr>
                    <w:t>%</w:t>
                  </w:r>
                </w:p>
              </w:tc>
            </w:tr>
          </w:tbl>
          <w:p>
            <w:pPr>
              <w:spacing w:before="156" w:beforeLines="50" w:after="156" w:afterLines="50"/>
              <w:rPr>
                <w:rFonts w:ascii="Arial" w:hAnsi="Arial" w:eastAsia="宋体" w:cs="Arial"/>
                <w:sz w:val="24"/>
                <w:szCs w:val="24"/>
                <w:u w:val="single"/>
              </w:rPr>
            </w:pPr>
          </w:p>
        </w:tc>
      </w:tr>
    </w:tbl>
    <w:p>
      <w:pPr>
        <w:spacing w:line="360" w:lineRule="auto"/>
        <w:ind w:firstLine="560" w:firstLineChars="200"/>
        <w:rPr>
          <w:rFonts w:ascii="Arial" w:hAnsi="Arial" w:eastAsia="宋体" w:cs="Arial"/>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05696"/>
    <w:rsid w:val="00011005"/>
    <w:rsid w:val="000151B2"/>
    <w:rsid w:val="00017EAA"/>
    <w:rsid w:val="00030D29"/>
    <w:rsid w:val="00033A90"/>
    <w:rsid w:val="00036704"/>
    <w:rsid w:val="00036E36"/>
    <w:rsid w:val="00045B51"/>
    <w:rsid w:val="00067117"/>
    <w:rsid w:val="00070DE9"/>
    <w:rsid w:val="000713C2"/>
    <w:rsid w:val="000723FA"/>
    <w:rsid w:val="00094095"/>
    <w:rsid w:val="000B3DCC"/>
    <w:rsid w:val="000D65B3"/>
    <w:rsid w:val="000E5223"/>
    <w:rsid w:val="000E5321"/>
    <w:rsid w:val="000F02F4"/>
    <w:rsid w:val="000F1EBD"/>
    <w:rsid w:val="000F1FFF"/>
    <w:rsid w:val="001040B0"/>
    <w:rsid w:val="00105018"/>
    <w:rsid w:val="00106574"/>
    <w:rsid w:val="001325B0"/>
    <w:rsid w:val="00134753"/>
    <w:rsid w:val="001524B9"/>
    <w:rsid w:val="00171A7E"/>
    <w:rsid w:val="00171CA3"/>
    <w:rsid w:val="00175239"/>
    <w:rsid w:val="001767D1"/>
    <w:rsid w:val="00177D93"/>
    <w:rsid w:val="00194FF0"/>
    <w:rsid w:val="00195985"/>
    <w:rsid w:val="00197DF4"/>
    <w:rsid w:val="001C1AB3"/>
    <w:rsid w:val="001F5F0B"/>
    <w:rsid w:val="002019A9"/>
    <w:rsid w:val="00207E74"/>
    <w:rsid w:val="00213872"/>
    <w:rsid w:val="00216BD5"/>
    <w:rsid w:val="00241CE5"/>
    <w:rsid w:val="00275A3D"/>
    <w:rsid w:val="00275D58"/>
    <w:rsid w:val="00285FA8"/>
    <w:rsid w:val="00293095"/>
    <w:rsid w:val="002942BA"/>
    <w:rsid w:val="002A5F57"/>
    <w:rsid w:val="002C4167"/>
    <w:rsid w:val="002C5670"/>
    <w:rsid w:val="002D762D"/>
    <w:rsid w:val="002E0636"/>
    <w:rsid w:val="002F1D1F"/>
    <w:rsid w:val="00304A5A"/>
    <w:rsid w:val="00311F24"/>
    <w:rsid w:val="00321DDB"/>
    <w:rsid w:val="00346A30"/>
    <w:rsid w:val="003619A6"/>
    <w:rsid w:val="003657F1"/>
    <w:rsid w:val="0036691B"/>
    <w:rsid w:val="0037030B"/>
    <w:rsid w:val="00371541"/>
    <w:rsid w:val="0037565E"/>
    <w:rsid w:val="00386FBD"/>
    <w:rsid w:val="003C4817"/>
    <w:rsid w:val="003D3803"/>
    <w:rsid w:val="003D3A30"/>
    <w:rsid w:val="004244C2"/>
    <w:rsid w:val="00426458"/>
    <w:rsid w:val="00430537"/>
    <w:rsid w:val="00451A0F"/>
    <w:rsid w:val="00452171"/>
    <w:rsid w:val="00462174"/>
    <w:rsid w:val="0046768F"/>
    <w:rsid w:val="004825A7"/>
    <w:rsid w:val="00486AAC"/>
    <w:rsid w:val="004A1DAC"/>
    <w:rsid w:val="004A7139"/>
    <w:rsid w:val="004B3FB6"/>
    <w:rsid w:val="004C2346"/>
    <w:rsid w:val="004C5BC1"/>
    <w:rsid w:val="004D47CE"/>
    <w:rsid w:val="004E77F9"/>
    <w:rsid w:val="004F5075"/>
    <w:rsid w:val="00510CFD"/>
    <w:rsid w:val="00523F2F"/>
    <w:rsid w:val="005241C9"/>
    <w:rsid w:val="00535D98"/>
    <w:rsid w:val="00546866"/>
    <w:rsid w:val="00554252"/>
    <w:rsid w:val="0056050E"/>
    <w:rsid w:val="00580FA9"/>
    <w:rsid w:val="0059755E"/>
    <w:rsid w:val="00597F2E"/>
    <w:rsid w:val="005B52E5"/>
    <w:rsid w:val="005B65F3"/>
    <w:rsid w:val="005F03C4"/>
    <w:rsid w:val="005F1B7A"/>
    <w:rsid w:val="00620015"/>
    <w:rsid w:val="006276BC"/>
    <w:rsid w:val="00634708"/>
    <w:rsid w:val="00635C19"/>
    <w:rsid w:val="00637C57"/>
    <w:rsid w:val="006451C2"/>
    <w:rsid w:val="00662633"/>
    <w:rsid w:val="006652D0"/>
    <w:rsid w:val="006654A7"/>
    <w:rsid w:val="006846BF"/>
    <w:rsid w:val="00685065"/>
    <w:rsid w:val="006957F3"/>
    <w:rsid w:val="006A61E4"/>
    <w:rsid w:val="006A6AC4"/>
    <w:rsid w:val="006A797E"/>
    <w:rsid w:val="006B06CC"/>
    <w:rsid w:val="006C5258"/>
    <w:rsid w:val="006D4B4A"/>
    <w:rsid w:val="006E257B"/>
    <w:rsid w:val="00701EA9"/>
    <w:rsid w:val="00705BDA"/>
    <w:rsid w:val="0070608E"/>
    <w:rsid w:val="00720402"/>
    <w:rsid w:val="007313D6"/>
    <w:rsid w:val="0073164C"/>
    <w:rsid w:val="00754657"/>
    <w:rsid w:val="00757FB5"/>
    <w:rsid w:val="007722D1"/>
    <w:rsid w:val="00775DF3"/>
    <w:rsid w:val="0077623D"/>
    <w:rsid w:val="007826E0"/>
    <w:rsid w:val="00785BD0"/>
    <w:rsid w:val="00786977"/>
    <w:rsid w:val="00790721"/>
    <w:rsid w:val="007B16FF"/>
    <w:rsid w:val="007B6451"/>
    <w:rsid w:val="007D7231"/>
    <w:rsid w:val="007E5FD7"/>
    <w:rsid w:val="007F57CA"/>
    <w:rsid w:val="00826865"/>
    <w:rsid w:val="00840197"/>
    <w:rsid w:val="00855AAA"/>
    <w:rsid w:val="00856D61"/>
    <w:rsid w:val="0087560B"/>
    <w:rsid w:val="00887A73"/>
    <w:rsid w:val="008A2327"/>
    <w:rsid w:val="008A3E1D"/>
    <w:rsid w:val="008C750D"/>
    <w:rsid w:val="009110AB"/>
    <w:rsid w:val="009119FA"/>
    <w:rsid w:val="0091664B"/>
    <w:rsid w:val="00922EB4"/>
    <w:rsid w:val="00931D92"/>
    <w:rsid w:val="00932EB0"/>
    <w:rsid w:val="00936666"/>
    <w:rsid w:val="00944011"/>
    <w:rsid w:val="00947DC9"/>
    <w:rsid w:val="009953F7"/>
    <w:rsid w:val="009B1003"/>
    <w:rsid w:val="00A06186"/>
    <w:rsid w:val="00A06DD0"/>
    <w:rsid w:val="00A32894"/>
    <w:rsid w:val="00A40882"/>
    <w:rsid w:val="00A522F2"/>
    <w:rsid w:val="00A527D7"/>
    <w:rsid w:val="00A63C1C"/>
    <w:rsid w:val="00A827A2"/>
    <w:rsid w:val="00A837A6"/>
    <w:rsid w:val="00A85E85"/>
    <w:rsid w:val="00A908B3"/>
    <w:rsid w:val="00A95A4A"/>
    <w:rsid w:val="00AA09C8"/>
    <w:rsid w:val="00AA0BA9"/>
    <w:rsid w:val="00AA2EDD"/>
    <w:rsid w:val="00AB0B34"/>
    <w:rsid w:val="00AB68C0"/>
    <w:rsid w:val="00AC5674"/>
    <w:rsid w:val="00AD5434"/>
    <w:rsid w:val="00AF57E8"/>
    <w:rsid w:val="00B14A60"/>
    <w:rsid w:val="00B4623D"/>
    <w:rsid w:val="00B557A7"/>
    <w:rsid w:val="00B66B30"/>
    <w:rsid w:val="00B709A7"/>
    <w:rsid w:val="00B83847"/>
    <w:rsid w:val="00BA01E7"/>
    <w:rsid w:val="00BA6397"/>
    <w:rsid w:val="00BB5805"/>
    <w:rsid w:val="00BD25BC"/>
    <w:rsid w:val="00BD7C95"/>
    <w:rsid w:val="00BE2C6B"/>
    <w:rsid w:val="00BE3B3D"/>
    <w:rsid w:val="00BE525A"/>
    <w:rsid w:val="00BF5623"/>
    <w:rsid w:val="00BF6B5B"/>
    <w:rsid w:val="00C05A5C"/>
    <w:rsid w:val="00C1086E"/>
    <w:rsid w:val="00C135F3"/>
    <w:rsid w:val="00C14CFA"/>
    <w:rsid w:val="00C15EA3"/>
    <w:rsid w:val="00C17B41"/>
    <w:rsid w:val="00C54668"/>
    <w:rsid w:val="00C61FAC"/>
    <w:rsid w:val="00CA3DFA"/>
    <w:rsid w:val="00CA4C4F"/>
    <w:rsid w:val="00CA7C02"/>
    <w:rsid w:val="00CB768D"/>
    <w:rsid w:val="00CC1F71"/>
    <w:rsid w:val="00CD497E"/>
    <w:rsid w:val="00D30F22"/>
    <w:rsid w:val="00D3681D"/>
    <w:rsid w:val="00D468F9"/>
    <w:rsid w:val="00D60D14"/>
    <w:rsid w:val="00D74C01"/>
    <w:rsid w:val="00D93EA2"/>
    <w:rsid w:val="00D97082"/>
    <w:rsid w:val="00DA1B9F"/>
    <w:rsid w:val="00DC736B"/>
    <w:rsid w:val="00DD5F11"/>
    <w:rsid w:val="00DF6907"/>
    <w:rsid w:val="00E157A0"/>
    <w:rsid w:val="00E256CD"/>
    <w:rsid w:val="00E33E0C"/>
    <w:rsid w:val="00E45984"/>
    <w:rsid w:val="00E47FEA"/>
    <w:rsid w:val="00E5321F"/>
    <w:rsid w:val="00E62773"/>
    <w:rsid w:val="00E6529B"/>
    <w:rsid w:val="00E679D3"/>
    <w:rsid w:val="00E735D5"/>
    <w:rsid w:val="00E76BD2"/>
    <w:rsid w:val="00E92062"/>
    <w:rsid w:val="00E9231C"/>
    <w:rsid w:val="00E929CE"/>
    <w:rsid w:val="00E941FA"/>
    <w:rsid w:val="00ED1CF4"/>
    <w:rsid w:val="00EE4A8B"/>
    <w:rsid w:val="00F102F3"/>
    <w:rsid w:val="00F17B0D"/>
    <w:rsid w:val="00F511EE"/>
    <w:rsid w:val="00F52CDE"/>
    <w:rsid w:val="00F74B7D"/>
    <w:rsid w:val="00F77541"/>
    <w:rsid w:val="00F87C1F"/>
    <w:rsid w:val="00FA4325"/>
    <w:rsid w:val="00FA64CA"/>
    <w:rsid w:val="00FB1A80"/>
    <w:rsid w:val="00FB5B2B"/>
    <w:rsid w:val="00FC398E"/>
    <w:rsid w:val="00FE07DB"/>
    <w:rsid w:val="0304287C"/>
    <w:rsid w:val="316A7835"/>
    <w:rsid w:val="4E127AAC"/>
    <w:rsid w:val="6E002B8A"/>
    <w:rsid w:val="75886C1B"/>
    <w:rsid w:val="77072774"/>
    <w:rsid w:val="7DE6711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1"/>
    <w:semiHidden/>
    <w:unhideWhenUsed/>
    <w:qFormat/>
    <w:uiPriority w:val="99"/>
    <w:pPr>
      <w:snapToGrid w:val="0"/>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semiHidden/>
    <w:unhideWhenUsed/>
    <w:qFormat/>
    <w:uiPriority w:val="99"/>
    <w:rPr>
      <w:vertAlign w:val="superscript"/>
    </w:rPr>
  </w:style>
  <w:style w:type="character" w:styleId="10">
    <w:name w:val="Hyperlink"/>
    <w:basedOn w:val="8"/>
    <w:semiHidden/>
    <w:unhideWhenUsed/>
    <w:qFormat/>
    <w:uiPriority w:val="99"/>
    <w:rPr>
      <w:color w:val="0000FF"/>
      <w:u w:val="single"/>
    </w:rPr>
  </w:style>
  <w:style w:type="character" w:customStyle="1" w:styleId="11">
    <w:name w:val="尾注文本 字符"/>
    <w:basedOn w:val="8"/>
    <w:link w:val="2"/>
    <w:semiHidden/>
    <w:qFormat/>
    <w:uiPriority w:val="99"/>
  </w:style>
  <w:style w:type="character" w:customStyle="1" w:styleId="12">
    <w:name w:val="页眉 字符"/>
    <w:basedOn w:val="8"/>
    <w:link w:val="5"/>
    <w:qFormat/>
    <w:uiPriority w:val="99"/>
    <w:rPr>
      <w:sz w:val="18"/>
      <w:szCs w:val="18"/>
    </w:rPr>
  </w:style>
  <w:style w:type="character" w:customStyle="1" w:styleId="13">
    <w:name w:val="页脚 字符"/>
    <w:basedOn w:val="8"/>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756682-FC97-4E19-9868-F1747AB6A63B}">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222</Words>
  <Characters>1268</Characters>
  <Lines>10</Lines>
  <Paragraphs>2</Paragraphs>
  <TotalTime>2</TotalTime>
  <ScaleCrop>false</ScaleCrop>
  <LinksUpToDate>false</LinksUpToDate>
  <CharactersWithSpaces>1488</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2022-01-16T02:48:00Z</dcterms:created>
  <dc:creator>dell</dc:creator>
  <cp:lastModifiedBy>杨钧翰</cp:lastModifiedBy>
  <cp:lastPrinted>2022-01-17T07:00:00Z</cp:lastPrinted>
  <dcterms:modified xsi:type="dcterms:W3CDTF">2022-01-18T01:29:52Z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