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SimHei" w:eastAsia="SimHei"/>
          <w:sz w:val="30"/>
          <w:szCs w:val="30"/>
        </w:rPr>
      </w:pPr>
      <w:bookmarkStart w:id="0" w:name="_GoBack"/>
      <w:bookmarkEnd w:id="0"/>
      <w:r>
        <w:rPr>
          <w:rFonts w:hint="eastAsia" w:ascii="SimHei" w:eastAsia="SimHei"/>
          <w:sz w:val="30"/>
          <w:szCs w:val="30"/>
        </w:rPr>
        <w:t>经营者集中简易案件公示表</w:t>
      </w:r>
    </w:p>
    <w:p>
      <w:pPr>
        <w:jc w:val="center"/>
        <w:rPr>
          <w:rFonts w:ascii="SimHei" w:eastAsia="SimHei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8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案件名称</w:t>
            </w: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电力规划总院有限公司（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“电规总院”</w:t>
            </w:r>
            <w:r>
              <w:rPr>
                <w:rFonts w:hint="eastAsia" w:ascii="宋体" w:hAnsi="宋体" w:cs="宋体"/>
                <w:kern w:val="0"/>
                <w:szCs w:val="21"/>
              </w:rPr>
              <w:t>）与宁德时代新能源科技股份有限公司</w:t>
            </w:r>
            <w:r>
              <w:rPr>
                <w:rFonts w:hint="eastAsia" w:ascii="Arial" w:hAnsi="Arial" w:cs="Arial"/>
                <w:szCs w:val="21"/>
              </w:rPr>
              <w:t>（“</w:t>
            </w:r>
            <w:r>
              <w:rPr>
                <w:rFonts w:hint="eastAsia" w:ascii="Arial" w:hAnsi="Arial" w:cs="Arial"/>
                <w:b/>
                <w:szCs w:val="21"/>
              </w:rPr>
              <w:t>宁德时代</w:t>
            </w:r>
            <w:r>
              <w:rPr>
                <w:rFonts w:hint="eastAsia" w:ascii="Arial" w:hAnsi="Arial" w:cs="Arial"/>
                <w:szCs w:val="21"/>
              </w:rPr>
              <w:t>”）</w:t>
            </w:r>
            <w:r>
              <w:rPr>
                <w:rFonts w:hint="eastAsia" w:ascii="宋体" w:hAnsi="宋体" w:cs="宋体"/>
                <w:kern w:val="0"/>
                <w:szCs w:val="21"/>
              </w:rPr>
              <w:t>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交易概况（限</w:t>
            </w:r>
            <w:r>
              <w:rPr>
                <w:szCs w:val="21"/>
              </w:rPr>
              <w:t>200</w:t>
            </w:r>
            <w:r>
              <w:rPr>
                <w:rFonts w:hint="eastAsia"/>
                <w:szCs w:val="21"/>
              </w:rPr>
              <w:t>字内）</w:t>
            </w: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电规总院、宁德时代、中国电力工程顾问集团华东电力设计院有限公司（</w:t>
            </w:r>
            <w:r>
              <w:rPr>
                <w:rFonts w:hint="eastAsia"/>
                <w:b/>
                <w:bCs/>
                <w:szCs w:val="21"/>
              </w:rPr>
              <w:t>“华东院”</w:t>
            </w:r>
            <w:r>
              <w:rPr>
                <w:rFonts w:hint="eastAsia"/>
                <w:szCs w:val="21"/>
              </w:rPr>
              <w:t>）、中国能源建设集团江苏省电力设计院有限公司（</w:t>
            </w:r>
            <w:r>
              <w:rPr>
                <w:rFonts w:hint="eastAsia"/>
                <w:b/>
                <w:bCs/>
                <w:szCs w:val="21"/>
              </w:rPr>
              <w:t>“江苏院”</w:t>
            </w:r>
            <w:r>
              <w:rPr>
                <w:rFonts w:hint="eastAsia"/>
                <w:szCs w:val="21"/>
              </w:rPr>
              <w:t>）与中国能建集团装备有限公司（</w:t>
            </w:r>
            <w:r>
              <w:rPr>
                <w:rFonts w:hint="eastAsia"/>
                <w:b/>
                <w:bCs/>
                <w:szCs w:val="21"/>
              </w:rPr>
              <w:t>“中能装备</w:t>
            </w:r>
            <w:r>
              <w:rPr>
                <w:b/>
                <w:bCs/>
                <w:szCs w:val="21"/>
              </w:rPr>
              <w:t>”</w:t>
            </w:r>
            <w:r>
              <w:rPr>
                <w:rFonts w:hint="eastAsia"/>
                <w:szCs w:val="21"/>
              </w:rPr>
              <w:t>）拟于中国上海市共同出资设立一家合资经营企业（</w:t>
            </w:r>
            <w:r>
              <w:rPr>
                <w:rFonts w:hint="eastAsia"/>
                <w:b/>
                <w:bCs/>
                <w:szCs w:val="21"/>
              </w:rPr>
              <w:t>“合营企业”</w:t>
            </w:r>
            <w:r>
              <w:rPr>
                <w:rFonts w:hint="eastAsia"/>
                <w:szCs w:val="21"/>
              </w:rPr>
              <w:t>），注册资本为人民币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亿元。其中，电规总院拟持股</w:t>
            </w:r>
            <w:r>
              <w:rPr>
                <w:szCs w:val="21"/>
              </w:rPr>
              <w:t>45%</w:t>
            </w:r>
            <w:r>
              <w:rPr>
                <w:rFonts w:hint="eastAsia"/>
                <w:szCs w:val="21"/>
              </w:rPr>
              <w:t>，宁德时代拟持股</w:t>
            </w:r>
            <w:r>
              <w:rPr>
                <w:szCs w:val="21"/>
              </w:rPr>
              <w:t>30%</w:t>
            </w:r>
            <w:r>
              <w:rPr>
                <w:rFonts w:hint="eastAsia"/>
                <w:szCs w:val="21"/>
              </w:rPr>
              <w:t>，华东院拟持股</w:t>
            </w:r>
            <w:r>
              <w:rPr>
                <w:szCs w:val="21"/>
              </w:rPr>
              <w:t>10%</w:t>
            </w:r>
            <w:r>
              <w:rPr>
                <w:rFonts w:hint="eastAsia"/>
                <w:szCs w:val="21"/>
              </w:rPr>
              <w:t>，江苏院拟持股</w:t>
            </w:r>
            <w:r>
              <w:rPr>
                <w:szCs w:val="21"/>
              </w:rPr>
              <w:t>10%</w:t>
            </w:r>
            <w:r>
              <w:rPr>
                <w:rFonts w:hint="eastAsia"/>
                <w:szCs w:val="21"/>
              </w:rPr>
              <w:t>，中能装备拟持股</w:t>
            </w:r>
            <w:r>
              <w:rPr>
                <w:szCs w:val="21"/>
              </w:rPr>
              <w:t>5%</w:t>
            </w:r>
            <w:r>
              <w:rPr>
                <w:rFonts w:hint="eastAsia"/>
                <w:szCs w:val="21"/>
              </w:rPr>
              <w:t>。合营企业由电规总院、宁德时代、华东院、江苏院共同控制。合营企业将主要开展锂离子电池储能系统的研发、生产、销售业务。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参与集中的经营者简介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rFonts w:hint="eastAsia"/>
                <w:kern w:val="0"/>
                <w:szCs w:val="21"/>
              </w:rPr>
              <w:t>电规总院</w:t>
            </w:r>
          </w:p>
        </w:tc>
        <w:tc>
          <w:tcPr>
            <w:tcW w:w="4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17"/>
              <w:spacing w:after="156" w:afterLines="50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2014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</w:rPr>
              <w:t>7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</w:rPr>
              <w:t>17</w:t>
            </w:r>
            <w:r>
              <w:rPr>
                <w:rFonts w:hint="eastAsia"/>
                <w:szCs w:val="21"/>
              </w:rPr>
              <w:t>日在北京成立。电规总院主要从事</w:t>
            </w:r>
            <w:r>
              <w:rPr>
                <w:rFonts w:hint="eastAsia" w:ascii="Arial" w:hAnsi="Arial" w:cs="Arial"/>
                <w:szCs w:val="21"/>
              </w:rPr>
              <w:t>能源及电力规划研究、项目咨询评审服务。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szCs w:val="21"/>
              </w:rPr>
            </w:pP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宁德时代</w:t>
            </w:r>
          </w:p>
        </w:tc>
        <w:tc>
          <w:tcPr>
            <w:tcW w:w="4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rFonts w:ascii="Calibri" w:hAnsi="Calibri"/>
                <w:szCs w:val="21"/>
              </w:rPr>
            </w:pPr>
            <w:r>
              <w:rPr>
                <w:szCs w:val="21"/>
              </w:rPr>
              <w:t>2011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12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16</w:t>
            </w:r>
            <w:r>
              <w:rPr>
                <w:rFonts w:hint="eastAsia"/>
                <w:szCs w:val="21"/>
              </w:rPr>
              <w:t>日在福建成立。宁德时代主要从事锂离子动力蓄电池的研发、生产和销售</w:t>
            </w:r>
            <w:r>
              <w:rPr>
                <w:rFonts w:hint="eastAsia"/>
                <w:kern w:val="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szCs w:val="21"/>
              </w:rPr>
            </w:pP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szCs w:val="21"/>
              </w:rPr>
              <w:t xml:space="preserve">3. </w:t>
            </w:r>
            <w:r>
              <w:rPr>
                <w:rFonts w:hint="eastAsia"/>
                <w:szCs w:val="21"/>
              </w:rPr>
              <w:t>华东院</w:t>
            </w:r>
          </w:p>
        </w:tc>
        <w:tc>
          <w:tcPr>
            <w:tcW w:w="4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rFonts w:ascii="Calibri" w:hAnsi="Calibri"/>
                <w:szCs w:val="21"/>
              </w:rPr>
            </w:pPr>
            <w:r>
              <w:rPr>
                <w:szCs w:val="21"/>
              </w:rPr>
              <w:t>1985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14</w:t>
            </w:r>
            <w:r>
              <w:rPr>
                <w:rFonts w:hint="eastAsia"/>
                <w:szCs w:val="21"/>
              </w:rPr>
              <w:t>日在上海成立。华东院主要从事</w:t>
            </w:r>
            <w:r>
              <w:rPr>
                <w:rFonts w:hint="eastAsia"/>
              </w:rPr>
              <w:t>电力工程的设计咨询以及总承包服务。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szCs w:val="21"/>
              </w:rPr>
            </w:pP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szCs w:val="21"/>
              </w:rPr>
              <w:t xml:space="preserve">4. </w:t>
            </w:r>
            <w:r>
              <w:rPr>
                <w:rFonts w:hint="eastAsia"/>
                <w:szCs w:val="21"/>
              </w:rPr>
              <w:t>江苏院</w:t>
            </w:r>
          </w:p>
        </w:tc>
        <w:tc>
          <w:tcPr>
            <w:tcW w:w="4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rFonts w:ascii="Calibri" w:hAnsi="Calibri"/>
                <w:szCs w:val="21"/>
              </w:rPr>
            </w:pPr>
            <w:r>
              <w:rPr>
                <w:szCs w:val="21"/>
              </w:rPr>
              <w:t>1990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>9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>21</w:t>
            </w:r>
            <w:r>
              <w:rPr>
                <w:rFonts w:hint="eastAsia"/>
                <w:szCs w:val="21"/>
              </w:rPr>
              <w:t>日在江苏成立。江苏院主要从事</w:t>
            </w:r>
            <w:r>
              <w:rPr>
                <w:rFonts w:hint="eastAsia" w:hAnsi="宋体"/>
              </w:rPr>
              <w:t>电力工程的设计咨询以及总承包服务。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简易案件理由（可以单选，也可以多选）</w:t>
            </w: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 w:ascii="Wingdings" w:hAnsi="Wingdings"/>
                <w:szCs w:val="21"/>
              </w:rPr>
              <w:sym w:font="Wingdings" w:char="F0FE"/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、在同一相关市场，所有参与集中的经营者所占市场份额之和小于</w:t>
            </w:r>
            <w:r>
              <w:rPr>
                <w:szCs w:val="21"/>
              </w:rPr>
              <w:t>15%</w:t>
            </w:r>
            <w:r>
              <w:rPr>
                <w:rFonts w:hint="eastAsia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szCs w:val="21"/>
              </w:rPr>
            </w:pP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 w:ascii="Wingdings" w:hAnsi="Wingdings"/>
                <w:szCs w:val="21"/>
              </w:rPr>
              <w:sym w:font="Wingdings" w:char="F0FE"/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、存在上下游关系的参与集中的经营者，在上下游市场所占的市场份额均小于</w:t>
            </w:r>
            <w:r>
              <w:rPr>
                <w:szCs w:val="21"/>
              </w:rPr>
              <w:t>25%</w:t>
            </w:r>
            <w:r>
              <w:rPr>
                <w:rFonts w:hint="eastAsia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szCs w:val="21"/>
              </w:rPr>
            </w:pP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szCs w:val="21"/>
              </w:rPr>
              <w:t>□3</w:t>
            </w:r>
            <w:r>
              <w:rPr>
                <w:rFonts w:hint="eastAsia"/>
                <w:szCs w:val="21"/>
              </w:rPr>
              <w:t>、不在同一相关市场、也不存在上下游关系的参与集中的经营者，在与交易有关的每个市场所占的份额均小于</w:t>
            </w:r>
            <w:r>
              <w:rPr>
                <w:szCs w:val="21"/>
              </w:rPr>
              <w:t>25%</w:t>
            </w:r>
            <w:r>
              <w:rPr>
                <w:rFonts w:hint="eastAsia"/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szCs w:val="21"/>
              </w:rPr>
            </w:pP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szCs w:val="21"/>
              </w:rPr>
              <w:t>□4</w:t>
            </w:r>
            <w:r>
              <w:rPr>
                <w:rFonts w:hint="eastAsia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szCs w:val="21"/>
              </w:rPr>
            </w:pP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szCs w:val="21"/>
              </w:rPr>
              <w:t>□5</w:t>
            </w:r>
            <w:r>
              <w:rPr>
                <w:rFonts w:hint="eastAsia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szCs w:val="21"/>
              </w:rPr>
            </w:pP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szCs w:val="21"/>
              </w:rPr>
              <w:t>□6</w:t>
            </w:r>
            <w:r>
              <w:rPr>
                <w:rFonts w:hint="eastAsia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  <w:tc>
          <w:tcPr>
            <w:tcW w:w="66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相关市场界定及集中各方的市场份额：</w:t>
            </w:r>
          </w:p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横向重叠：</w:t>
            </w:r>
          </w:p>
          <w:p>
            <w:pPr>
              <w:numPr>
                <w:ilvl w:val="0"/>
                <w:numId w:val="1"/>
              </w:num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相关产品市场：电力工程总承包服务</w:t>
            </w:r>
          </w:p>
          <w:p>
            <w:pPr>
              <w:spacing w:after="156" w:afterLines="50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相关地域市场：中国境内</w:t>
            </w:r>
          </w:p>
          <w:p>
            <w:pPr>
              <w:spacing w:after="156" w:afterLines="50"/>
              <w:ind w:left="420"/>
              <w:rPr>
                <w:rFonts w:ascii="Calibri" w:hAnsi="Calibri"/>
                <w:szCs w:val="21"/>
              </w:rPr>
            </w:pPr>
            <w:r>
              <w:rPr>
                <w:rFonts w:hint="eastAsia"/>
                <w:szCs w:val="21"/>
              </w:rPr>
              <w:t>市场份额：江苏院：</w:t>
            </w:r>
            <w:r>
              <w:rPr>
                <w:szCs w:val="21"/>
              </w:rPr>
              <w:t>0-5%</w:t>
            </w:r>
            <w:r>
              <w:rPr>
                <w:rFonts w:hint="eastAsia"/>
                <w:szCs w:val="21"/>
              </w:rPr>
              <w:t>；华东院：</w:t>
            </w:r>
            <w:r>
              <w:rPr>
                <w:szCs w:val="21"/>
              </w:rPr>
              <w:t>0-5%</w:t>
            </w:r>
          </w:p>
          <w:p>
            <w:pPr>
              <w:spacing w:after="156" w:afterLines="50"/>
              <w:rPr>
                <w:szCs w:val="21"/>
              </w:rPr>
            </w:pPr>
          </w:p>
          <w:p>
            <w:p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纵向关系：</w:t>
            </w:r>
          </w:p>
          <w:p>
            <w:pPr>
              <w:numPr>
                <w:ilvl w:val="0"/>
                <w:numId w:val="2"/>
              </w:num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上游市场</w:t>
            </w:r>
          </w:p>
          <w:p>
            <w:pPr>
              <w:spacing w:after="156" w:afterLines="50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相关产品市场：储能锂离子电池</w:t>
            </w:r>
          </w:p>
          <w:p>
            <w:pPr>
              <w:spacing w:after="156" w:afterLines="50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相关地域市场：中国境内</w:t>
            </w:r>
          </w:p>
          <w:p>
            <w:pPr>
              <w:spacing w:after="156" w:afterLines="50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市场份额：宁德时代：</w:t>
            </w:r>
            <w:r>
              <w:rPr>
                <w:szCs w:val="21"/>
              </w:rPr>
              <w:t>15-20%</w:t>
            </w:r>
          </w:p>
          <w:p>
            <w:pPr>
              <w:numPr>
                <w:ilvl w:val="0"/>
                <w:numId w:val="1"/>
              </w:num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中游市场</w:t>
            </w:r>
          </w:p>
          <w:p>
            <w:pPr>
              <w:spacing w:after="156" w:afterLines="50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相关产品市场：锂离子电池储能系统</w:t>
            </w:r>
          </w:p>
          <w:p>
            <w:pPr>
              <w:spacing w:after="156" w:afterLines="50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相关地域市场：中国境内</w:t>
            </w:r>
          </w:p>
          <w:p>
            <w:pPr>
              <w:spacing w:after="156" w:afterLines="50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市场份额：合营企业（预估）：</w:t>
            </w:r>
            <w:r>
              <w:rPr>
                <w:szCs w:val="21"/>
              </w:rPr>
              <w:t>0-5%</w:t>
            </w:r>
          </w:p>
          <w:p>
            <w:pPr>
              <w:numPr>
                <w:ilvl w:val="0"/>
                <w:numId w:val="1"/>
              </w:numPr>
              <w:spacing w:after="156" w:afterLines="50"/>
              <w:rPr>
                <w:szCs w:val="21"/>
              </w:rPr>
            </w:pPr>
            <w:r>
              <w:rPr>
                <w:rFonts w:hint="eastAsia"/>
                <w:szCs w:val="21"/>
              </w:rPr>
              <w:t>下游市场</w:t>
            </w:r>
          </w:p>
          <w:p>
            <w:pPr>
              <w:spacing w:after="156" w:afterLines="50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相关产品市场：电力工程总承包服务</w:t>
            </w:r>
          </w:p>
          <w:p>
            <w:pPr>
              <w:spacing w:after="156" w:afterLines="50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相关地域市场：中国境内</w:t>
            </w:r>
          </w:p>
          <w:p>
            <w:pPr>
              <w:spacing w:after="156" w:afterLines="50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市场份额：江苏院：</w:t>
            </w:r>
            <w:r>
              <w:rPr>
                <w:szCs w:val="21"/>
              </w:rPr>
              <w:t>0-5%</w:t>
            </w:r>
            <w:r>
              <w:rPr>
                <w:rFonts w:hint="eastAsia"/>
                <w:szCs w:val="21"/>
              </w:rPr>
              <w:t>；华东院：</w:t>
            </w:r>
            <w:r>
              <w:rPr>
                <w:szCs w:val="21"/>
              </w:rPr>
              <w:t>0-5%</w:t>
            </w:r>
          </w:p>
        </w:tc>
      </w:tr>
    </w:tbl>
    <w:p>
      <w:pPr>
        <w:rPr>
          <w:rFonts w:ascii="KaiTi_GB2312" w:eastAsia="KaiTi_GB2312" w:cs="Times New Roman"/>
          <w:sz w:val="28"/>
          <w:szCs w:val="28"/>
        </w:rPr>
      </w:pPr>
    </w:p>
    <w:p>
      <w:pPr>
        <w:spacing w:line="300" w:lineRule="auto"/>
        <w:ind w:left="567" w:leftChars="270"/>
        <w:jc w:val="left"/>
        <w:rPr>
          <w:rFonts w:cs="Times New Roman"/>
          <w:sz w:val="23"/>
          <w:szCs w:val="23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3416625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DC63F1"/>
    <w:multiLevelType w:val="multilevel"/>
    <w:tmpl w:val="1FDC63F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ED9233A"/>
    <w:multiLevelType w:val="multilevel"/>
    <w:tmpl w:val="7ED9233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588"/>
    <w:rsid w:val="000009AA"/>
    <w:rsid w:val="000056A7"/>
    <w:rsid w:val="0000788D"/>
    <w:rsid w:val="00007E49"/>
    <w:rsid w:val="00010F7C"/>
    <w:rsid w:val="000128E7"/>
    <w:rsid w:val="00014D42"/>
    <w:rsid w:val="00014FEE"/>
    <w:rsid w:val="000154DC"/>
    <w:rsid w:val="000161AB"/>
    <w:rsid w:val="00021C8F"/>
    <w:rsid w:val="00036C47"/>
    <w:rsid w:val="00052EFB"/>
    <w:rsid w:val="000609DB"/>
    <w:rsid w:val="00064204"/>
    <w:rsid w:val="00067B0B"/>
    <w:rsid w:val="000714BD"/>
    <w:rsid w:val="00073A73"/>
    <w:rsid w:val="000840E7"/>
    <w:rsid w:val="00086050"/>
    <w:rsid w:val="00097EB4"/>
    <w:rsid w:val="000A5EDA"/>
    <w:rsid w:val="000B2C91"/>
    <w:rsid w:val="000C49B1"/>
    <w:rsid w:val="000C59EB"/>
    <w:rsid w:val="000C7090"/>
    <w:rsid w:val="000D2AC1"/>
    <w:rsid w:val="000D3621"/>
    <w:rsid w:val="000E1806"/>
    <w:rsid w:val="000E31ED"/>
    <w:rsid w:val="000E5EED"/>
    <w:rsid w:val="000E6A65"/>
    <w:rsid w:val="000F5E2E"/>
    <w:rsid w:val="00104CD3"/>
    <w:rsid w:val="00106336"/>
    <w:rsid w:val="001108DB"/>
    <w:rsid w:val="00113950"/>
    <w:rsid w:val="00144195"/>
    <w:rsid w:val="001454A6"/>
    <w:rsid w:val="00152F3D"/>
    <w:rsid w:val="001630AC"/>
    <w:rsid w:val="0016530F"/>
    <w:rsid w:val="0017042C"/>
    <w:rsid w:val="00173BA2"/>
    <w:rsid w:val="00175E0B"/>
    <w:rsid w:val="0017684C"/>
    <w:rsid w:val="0017720E"/>
    <w:rsid w:val="00182DA8"/>
    <w:rsid w:val="001843C3"/>
    <w:rsid w:val="00187D84"/>
    <w:rsid w:val="001911A9"/>
    <w:rsid w:val="00193A39"/>
    <w:rsid w:val="001A1D24"/>
    <w:rsid w:val="001A3AF7"/>
    <w:rsid w:val="001A49F1"/>
    <w:rsid w:val="001A6094"/>
    <w:rsid w:val="001B67CA"/>
    <w:rsid w:val="001C6AFB"/>
    <w:rsid w:val="001D2E40"/>
    <w:rsid w:val="001D3C18"/>
    <w:rsid w:val="001E19F4"/>
    <w:rsid w:val="001E1B6F"/>
    <w:rsid w:val="002001C2"/>
    <w:rsid w:val="002051B4"/>
    <w:rsid w:val="0020539E"/>
    <w:rsid w:val="00213EF3"/>
    <w:rsid w:val="00222641"/>
    <w:rsid w:val="002271DF"/>
    <w:rsid w:val="002302FF"/>
    <w:rsid w:val="002322AD"/>
    <w:rsid w:val="002347F5"/>
    <w:rsid w:val="002411AD"/>
    <w:rsid w:val="00241222"/>
    <w:rsid w:val="00251D2F"/>
    <w:rsid w:val="00252BC3"/>
    <w:rsid w:val="00254549"/>
    <w:rsid w:val="00260083"/>
    <w:rsid w:val="00260E98"/>
    <w:rsid w:val="002646CE"/>
    <w:rsid w:val="002710EA"/>
    <w:rsid w:val="002724D5"/>
    <w:rsid w:val="002753BB"/>
    <w:rsid w:val="002777A8"/>
    <w:rsid w:val="002A0BCD"/>
    <w:rsid w:val="002A3D09"/>
    <w:rsid w:val="002A6C49"/>
    <w:rsid w:val="002A7EE8"/>
    <w:rsid w:val="002D0521"/>
    <w:rsid w:val="002D390E"/>
    <w:rsid w:val="002E0003"/>
    <w:rsid w:val="002E30DD"/>
    <w:rsid w:val="002F27F8"/>
    <w:rsid w:val="002F28D2"/>
    <w:rsid w:val="003023D1"/>
    <w:rsid w:val="00316432"/>
    <w:rsid w:val="00316CA3"/>
    <w:rsid w:val="003223CB"/>
    <w:rsid w:val="00325331"/>
    <w:rsid w:val="00327B73"/>
    <w:rsid w:val="00335985"/>
    <w:rsid w:val="00335FFB"/>
    <w:rsid w:val="00337E55"/>
    <w:rsid w:val="003431BE"/>
    <w:rsid w:val="0034435F"/>
    <w:rsid w:val="00345B23"/>
    <w:rsid w:val="00350A4C"/>
    <w:rsid w:val="00354E28"/>
    <w:rsid w:val="00356B0A"/>
    <w:rsid w:val="00357B1D"/>
    <w:rsid w:val="00373AAC"/>
    <w:rsid w:val="00380400"/>
    <w:rsid w:val="00392E2F"/>
    <w:rsid w:val="003A5621"/>
    <w:rsid w:val="003B1C81"/>
    <w:rsid w:val="003B4C51"/>
    <w:rsid w:val="003E1B92"/>
    <w:rsid w:val="003E3DB5"/>
    <w:rsid w:val="003E4410"/>
    <w:rsid w:val="003E6920"/>
    <w:rsid w:val="003E7740"/>
    <w:rsid w:val="00407915"/>
    <w:rsid w:val="004135CD"/>
    <w:rsid w:val="00414DCF"/>
    <w:rsid w:val="0041551A"/>
    <w:rsid w:val="00420A3B"/>
    <w:rsid w:val="00420BE2"/>
    <w:rsid w:val="004305BA"/>
    <w:rsid w:val="004310D9"/>
    <w:rsid w:val="004334E0"/>
    <w:rsid w:val="00433E35"/>
    <w:rsid w:val="00436777"/>
    <w:rsid w:val="0044003A"/>
    <w:rsid w:val="00440DD2"/>
    <w:rsid w:val="0045403D"/>
    <w:rsid w:val="004554E5"/>
    <w:rsid w:val="00460AC6"/>
    <w:rsid w:val="0047040D"/>
    <w:rsid w:val="0047317B"/>
    <w:rsid w:val="00474C04"/>
    <w:rsid w:val="004769C7"/>
    <w:rsid w:val="004908B1"/>
    <w:rsid w:val="004A28C0"/>
    <w:rsid w:val="004A63BA"/>
    <w:rsid w:val="004B07B7"/>
    <w:rsid w:val="004B4398"/>
    <w:rsid w:val="004B59F5"/>
    <w:rsid w:val="004B6040"/>
    <w:rsid w:val="004B6AB7"/>
    <w:rsid w:val="004B75B7"/>
    <w:rsid w:val="004C4B0A"/>
    <w:rsid w:val="004C6713"/>
    <w:rsid w:val="004C75A7"/>
    <w:rsid w:val="004D435A"/>
    <w:rsid w:val="004D5578"/>
    <w:rsid w:val="004D6F7D"/>
    <w:rsid w:val="004F061F"/>
    <w:rsid w:val="004F3CC9"/>
    <w:rsid w:val="004F4988"/>
    <w:rsid w:val="00501C27"/>
    <w:rsid w:val="00517361"/>
    <w:rsid w:val="00523208"/>
    <w:rsid w:val="00525C41"/>
    <w:rsid w:val="00526984"/>
    <w:rsid w:val="00533A6B"/>
    <w:rsid w:val="00536E3A"/>
    <w:rsid w:val="00537C25"/>
    <w:rsid w:val="005423ED"/>
    <w:rsid w:val="00544044"/>
    <w:rsid w:val="00545C31"/>
    <w:rsid w:val="005461A4"/>
    <w:rsid w:val="0054716E"/>
    <w:rsid w:val="00551406"/>
    <w:rsid w:val="005571C6"/>
    <w:rsid w:val="005601C5"/>
    <w:rsid w:val="00560254"/>
    <w:rsid w:val="00561066"/>
    <w:rsid w:val="005647B1"/>
    <w:rsid w:val="00565E2E"/>
    <w:rsid w:val="00572D3A"/>
    <w:rsid w:val="005975A5"/>
    <w:rsid w:val="005A00C9"/>
    <w:rsid w:val="005A0374"/>
    <w:rsid w:val="005A269E"/>
    <w:rsid w:val="005A4EB0"/>
    <w:rsid w:val="005B1DCD"/>
    <w:rsid w:val="005B7CBE"/>
    <w:rsid w:val="005C196D"/>
    <w:rsid w:val="005C41D3"/>
    <w:rsid w:val="005C55FA"/>
    <w:rsid w:val="005D3669"/>
    <w:rsid w:val="005D76F3"/>
    <w:rsid w:val="005E65BE"/>
    <w:rsid w:val="005F7CF6"/>
    <w:rsid w:val="00604D31"/>
    <w:rsid w:val="00607BE8"/>
    <w:rsid w:val="00612EFE"/>
    <w:rsid w:val="0061373A"/>
    <w:rsid w:val="00625B60"/>
    <w:rsid w:val="00631B74"/>
    <w:rsid w:val="00632114"/>
    <w:rsid w:val="0063564F"/>
    <w:rsid w:val="00642CB6"/>
    <w:rsid w:val="00644D0E"/>
    <w:rsid w:val="006454F2"/>
    <w:rsid w:val="00646216"/>
    <w:rsid w:val="00652AD9"/>
    <w:rsid w:val="00655936"/>
    <w:rsid w:val="00657EEF"/>
    <w:rsid w:val="006610F7"/>
    <w:rsid w:val="00677802"/>
    <w:rsid w:val="006833A2"/>
    <w:rsid w:val="00685640"/>
    <w:rsid w:val="00686F8C"/>
    <w:rsid w:val="00686FAC"/>
    <w:rsid w:val="00690BBA"/>
    <w:rsid w:val="00693FF7"/>
    <w:rsid w:val="006B14CB"/>
    <w:rsid w:val="006B6009"/>
    <w:rsid w:val="006C5418"/>
    <w:rsid w:val="006D17CC"/>
    <w:rsid w:val="006D17F9"/>
    <w:rsid w:val="006D4405"/>
    <w:rsid w:val="006D7A7C"/>
    <w:rsid w:val="006E04DE"/>
    <w:rsid w:val="006E1597"/>
    <w:rsid w:val="006E4A84"/>
    <w:rsid w:val="006F78B1"/>
    <w:rsid w:val="007071BA"/>
    <w:rsid w:val="007072CC"/>
    <w:rsid w:val="00710ACC"/>
    <w:rsid w:val="00712374"/>
    <w:rsid w:val="007160D4"/>
    <w:rsid w:val="0072575E"/>
    <w:rsid w:val="007274A9"/>
    <w:rsid w:val="00727B4F"/>
    <w:rsid w:val="00730739"/>
    <w:rsid w:val="0073360A"/>
    <w:rsid w:val="00743460"/>
    <w:rsid w:val="007503F6"/>
    <w:rsid w:val="007510A7"/>
    <w:rsid w:val="00751FF7"/>
    <w:rsid w:val="007579F9"/>
    <w:rsid w:val="007655B4"/>
    <w:rsid w:val="007655F8"/>
    <w:rsid w:val="007736A3"/>
    <w:rsid w:val="00782B6A"/>
    <w:rsid w:val="00787C73"/>
    <w:rsid w:val="007901F1"/>
    <w:rsid w:val="007A1C70"/>
    <w:rsid w:val="007A3671"/>
    <w:rsid w:val="007A63F7"/>
    <w:rsid w:val="007A770A"/>
    <w:rsid w:val="007A7AB8"/>
    <w:rsid w:val="007B1AD5"/>
    <w:rsid w:val="007B612B"/>
    <w:rsid w:val="007C702E"/>
    <w:rsid w:val="007D3890"/>
    <w:rsid w:val="007D4877"/>
    <w:rsid w:val="007D7CA3"/>
    <w:rsid w:val="007E0BD4"/>
    <w:rsid w:val="007E1646"/>
    <w:rsid w:val="007E1769"/>
    <w:rsid w:val="007E35AE"/>
    <w:rsid w:val="007E5BF5"/>
    <w:rsid w:val="007E6719"/>
    <w:rsid w:val="007F3F8D"/>
    <w:rsid w:val="008049D2"/>
    <w:rsid w:val="0081713C"/>
    <w:rsid w:val="00817588"/>
    <w:rsid w:val="00821159"/>
    <w:rsid w:val="008241A8"/>
    <w:rsid w:val="008313BD"/>
    <w:rsid w:val="0083232A"/>
    <w:rsid w:val="00837242"/>
    <w:rsid w:val="0084263C"/>
    <w:rsid w:val="00844CA3"/>
    <w:rsid w:val="008454D2"/>
    <w:rsid w:val="00846B2E"/>
    <w:rsid w:val="00847F81"/>
    <w:rsid w:val="00854097"/>
    <w:rsid w:val="008564A0"/>
    <w:rsid w:val="00862FB7"/>
    <w:rsid w:val="008700BA"/>
    <w:rsid w:val="008750F9"/>
    <w:rsid w:val="00890842"/>
    <w:rsid w:val="00893A3E"/>
    <w:rsid w:val="008A02EF"/>
    <w:rsid w:val="008A0B8F"/>
    <w:rsid w:val="008A2024"/>
    <w:rsid w:val="008A3837"/>
    <w:rsid w:val="008A7019"/>
    <w:rsid w:val="008B4E1D"/>
    <w:rsid w:val="008B4E75"/>
    <w:rsid w:val="008B5651"/>
    <w:rsid w:val="008B660B"/>
    <w:rsid w:val="008D2C4B"/>
    <w:rsid w:val="008D5639"/>
    <w:rsid w:val="008F03EC"/>
    <w:rsid w:val="008F1988"/>
    <w:rsid w:val="008F4CB0"/>
    <w:rsid w:val="00912B30"/>
    <w:rsid w:val="00914BF4"/>
    <w:rsid w:val="009179EF"/>
    <w:rsid w:val="00924D9C"/>
    <w:rsid w:val="00937816"/>
    <w:rsid w:val="00940C39"/>
    <w:rsid w:val="0094282D"/>
    <w:rsid w:val="00944A06"/>
    <w:rsid w:val="009472A3"/>
    <w:rsid w:val="00962093"/>
    <w:rsid w:val="009634BD"/>
    <w:rsid w:val="009713A1"/>
    <w:rsid w:val="009717FA"/>
    <w:rsid w:val="009730FE"/>
    <w:rsid w:val="009779B6"/>
    <w:rsid w:val="009822F9"/>
    <w:rsid w:val="00984350"/>
    <w:rsid w:val="0098440F"/>
    <w:rsid w:val="00984C8D"/>
    <w:rsid w:val="009854B2"/>
    <w:rsid w:val="009929C2"/>
    <w:rsid w:val="00997D03"/>
    <w:rsid w:val="009A350B"/>
    <w:rsid w:val="009A6BE1"/>
    <w:rsid w:val="009A7CA9"/>
    <w:rsid w:val="009B7548"/>
    <w:rsid w:val="009C7D73"/>
    <w:rsid w:val="009D3200"/>
    <w:rsid w:val="009D372F"/>
    <w:rsid w:val="009D383D"/>
    <w:rsid w:val="009E242C"/>
    <w:rsid w:val="009E2800"/>
    <w:rsid w:val="009E3CEE"/>
    <w:rsid w:val="009E56BA"/>
    <w:rsid w:val="009F09D4"/>
    <w:rsid w:val="009F1D1F"/>
    <w:rsid w:val="009F60AA"/>
    <w:rsid w:val="00A05425"/>
    <w:rsid w:val="00A06E1E"/>
    <w:rsid w:val="00A2361D"/>
    <w:rsid w:val="00A24486"/>
    <w:rsid w:val="00A2498F"/>
    <w:rsid w:val="00A37C75"/>
    <w:rsid w:val="00A4613B"/>
    <w:rsid w:val="00A4693F"/>
    <w:rsid w:val="00A5015E"/>
    <w:rsid w:val="00A51E7A"/>
    <w:rsid w:val="00A6177F"/>
    <w:rsid w:val="00A6733B"/>
    <w:rsid w:val="00A71FC6"/>
    <w:rsid w:val="00A7299E"/>
    <w:rsid w:val="00A76975"/>
    <w:rsid w:val="00A84258"/>
    <w:rsid w:val="00A85781"/>
    <w:rsid w:val="00A87BFC"/>
    <w:rsid w:val="00AA008B"/>
    <w:rsid w:val="00AA59B6"/>
    <w:rsid w:val="00AC2426"/>
    <w:rsid w:val="00AC445F"/>
    <w:rsid w:val="00AC6328"/>
    <w:rsid w:val="00AD2931"/>
    <w:rsid w:val="00AD3C6E"/>
    <w:rsid w:val="00AD5A06"/>
    <w:rsid w:val="00AF1068"/>
    <w:rsid w:val="00B04315"/>
    <w:rsid w:val="00B052D8"/>
    <w:rsid w:val="00B055EA"/>
    <w:rsid w:val="00B0615A"/>
    <w:rsid w:val="00B14FDE"/>
    <w:rsid w:val="00B23181"/>
    <w:rsid w:val="00B276DE"/>
    <w:rsid w:val="00B27F15"/>
    <w:rsid w:val="00B30CF1"/>
    <w:rsid w:val="00B34BEE"/>
    <w:rsid w:val="00B414F3"/>
    <w:rsid w:val="00B52E65"/>
    <w:rsid w:val="00B567A7"/>
    <w:rsid w:val="00B643A2"/>
    <w:rsid w:val="00B72155"/>
    <w:rsid w:val="00B74A65"/>
    <w:rsid w:val="00B76039"/>
    <w:rsid w:val="00B767F4"/>
    <w:rsid w:val="00B80303"/>
    <w:rsid w:val="00B853A0"/>
    <w:rsid w:val="00B858BA"/>
    <w:rsid w:val="00B85A43"/>
    <w:rsid w:val="00B917EC"/>
    <w:rsid w:val="00BA0C41"/>
    <w:rsid w:val="00BA614D"/>
    <w:rsid w:val="00BB1F98"/>
    <w:rsid w:val="00BB23F3"/>
    <w:rsid w:val="00BE0F12"/>
    <w:rsid w:val="00BF0DCE"/>
    <w:rsid w:val="00BF6403"/>
    <w:rsid w:val="00BF7AC8"/>
    <w:rsid w:val="00C02394"/>
    <w:rsid w:val="00C065BA"/>
    <w:rsid w:val="00C233A5"/>
    <w:rsid w:val="00C2578B"/>
    <w:rsid w:val="00C25994"/>
    <w:rsid w:val="00C306DF"/>
    <w:rsid w:val="00C36232"/>
    <w:rsid w:val="00C36536"/>
    <w:rsid w:val="00C370C6"/>
    <w:rsid w:val="00C410B9"/>
    <w:rsid w:val="00C420F7"/>
    <w:rsid w:val="00C42D13"/>
    <w:rsid w:val="00C43266"/>
    <w:rsid w:val="00C4329F"/>
    <w:rsid w:val="00C466E2"/>
    <w:rsid w:val="00C47644"/>
    <w:rsid w:val="00C527DD"/>
    <w:rsid w:val="00C66F02"/>
    <w:rsid w:val="00C756E0"/>
    <w:rsid w:val="00C8254F"/>
    <w:rsid w:val="00C82A65"/>
    <w:rsid w:val="00C83528"/>
    <w:rsid w:val="00C90909"/>
    <w:rsid w:val="00C93573"/>
    <w:rsid w:val="00C94562"/>
    <w:rsid w:val="00C96FCF"/>
    <w:rsid w:val="00CA674D"/>
    <w:rsid w:val="00CB19F0"/>
    <w:rsid w:val="00CB4361"/>
    <w:rsid w:val="00CB6165"/>
    <w:rsid w:val="00CC1928"/>
    <w:rsid w:val="00CC50F5"/>
    <w:rsid w:val="00CC7DB7"/>
    <w:rsid w:val="00CD2812"/>
    <w:rsid w:val="00CD60B4"/>
    <w:rsid w:val="00CE12DB"/>
    <w:rsid w:val="00CE233D"/>
    <w:rsid w:val="00CE5D6C"/>
    <w:rsid w:val="00CE61D3"/>
    <w:rsid w:val="00CE7A87"/>
    <w:rsid w:val="00CF23FC"/>
    <w:rsid w:val="00CF2F64"/>
    <w:rsid w:val="00CF48F3"/>
    <w:rsid w:val="00CF7974"/>
    <w:rsid w:val="00CF7F97"/>
    <w:rsid w:val="00D0080F"/>
    <w:rsid w:val="00D102D7"/>
    <w:rsid w:val="00D117C2"/>
    <w:rsid w:val="00D119EE"/>
    <w:rsid w:val="00D203BD"/>
    <w:rsid w:val="00D2041A"/>
    <w:rsid w:val="00D2482A"/>
    <w:rsid w:val="00D3506C"/>
    <w:rsid w:val="00D3737A"/>
    <w:rsid w:val="00D40240"/>
    <w:rsid w:val="00D40AB7"/>
    <w:rsid w:val="00D5082F"/>
    <w:rsid w:val="00D625CC"/>
    <w:rsid w:val="00D66892"/>
    <w:rsid w:val="00D8714B"/>
    <w:rsid w:val="00D919A3"/>
    <w:rsid w:val="00D957E4"/>
    <w:rsid w:val="00DA0A97"/>
    <w:rsid w:val="00DB3DFC"/>
    <w:rsid w:val="00DB4CF3"/>
    <w:rsid w:val="00DC13A5"/>
    <w:rsid w:val="00DD14DB"/>
    <w:rsid w:val="00DD395C"/>
    <w:rsid w:val="00DE4619"/>
    <w:rsid w:val="00DF0E97"/>
    <w:rsid w:val="00DF5AC0"/>
    <w:rsid w:val="00E00AF5"/>
    <w:rsid w:val="00E04477"/>
    <w:rsid w:val="00E051BB"/>
    <w:rsid w:val="00E12698"/>
    <w:rsid w:val="00E2032D"/>
    <w:rsid w:val="00E23A49"/>
    <w:rsid w:val="00E309A2"/>
    <w:rsid w:val="00E33B82"/>
    <w:rsid w:val="00E35840"/>
    <w:rsid w:val="00E36ED5"/>
    <w:rsid w:val="00E3788C"/>
    <w:rsid w:val="00E47598"/>
    <w:rsid w:val="00E51FD5"/>
    <w:rsid w:val="00E53C61"/>
    <w:rsid w:val="00E53E94"/>
    <w:rsid w:val="00E573EF"/>
    <w:rsid w:val="00E62202"/>
    <w:rsid w:val="00E62E2A"/>
    <w:rsid w:val="00E71A4A"/>
    <w:rsid w:val="00E747D2"/>
    <w:rsid w:val="00E828F7"/>
    <w:rsid w:val="00E84351"/>
    <w:rsid w:val="00E849D8"/>
    <w:rsid w:val="00E849EC"/>
    <w:rsid w:val="00E85FF8"/>
    <w:rsid w:val="00E87F12"/>
    <w:rsid w:val="00E90606"/>
    <w:rsid w:val="00EA0D81"/>
    <w:rsid w:val="00EA1D6D"/>
    <w:rsid w:val="00EA2E80"/>
    <w:rsid w:val="00EA4C90"/>
    <w:rsid w:val="00EA5556"/>
    <w:rsid w:val="00EB2BEA"/>
    <w:rsid w:val="00EB5AD8"/>
    <w:rsid w:val="00EB7D30"/>
    <w:rsid w:val="00ED07A6"/>
    <w:rsid w:val="00ED3AF0"/>
    <w:rsid w:val="00ED4555"/>
    <w:rsid w:val="00ED5C41"/>
    <w:rsid w:val="00ED64F8"/>
    <w:rsid w:val="00EE423F"/>
    <w:rsid w:val="00EE4F21"/>
    <w:rsid w:val="00F0191B"/>
    <w:rsid w:val="00F06F41"/>
    <w:rsid w:val="00F10BB0"/>
    <w:rsid w:val="00F218F9"/>
    <w:rsid w:val="00F2277E"/>
    <w:rsid w:val="00F30A17"/>
    <w:rsid w:val="00F3372C"/>
    <w:rsid w:val="00F33F53"/>
    <w:rsid w:val="00F4243D"/>
    <w:rsid w:val="00F42933"/>
    <w:rsid w:val="00F43F6F"/>
    <w:rsid w:val="00F51B41"/>
    <w:rsid w:val="00F527A8"/>
    <w:rsid w:val="00F531F8"/>
    <w:rsid w:val="00F53265"/>
    <w:rsid w:val="00F53F57"/>
    <w:rsid w:val="00F65E7E"/>
    <w:rsid w:val="00F665D1"/>
    <w:rsid w:val="00F6668B"/>
    <w:rsid w:val="00F7319E"/>
    <w:rsid w:val="00F75EA3"/>
    <w:rsid w:val="00F763B9"/>
    <w:rsid w:val="00FA10B1"/>
    <w:rsid w:val="00FA2EC2"/>
    <w:rsid w:val="00FB1793"/>
    <w:rsid w:val="00FB19BD"/>
    <w:rsid w:val="00FB3B06"/>
    <w:rsid w:val="00FB45F2"/>
    <w:rsid w:val="00FC0054"/>
    <w:rsid w:val="00FC3386"/>
    <w:rsid w:val="00FD1374"/>
    <w:rsid w:val="00FD1D92"/>
    <w:rsid w:val="00FD50C1"/>
    <w:rsid w:val="00FD60B5"/>
    <w:rsid w:val="00FE38C4"/>
    <w:rsid w:val="00FF42B4"/>
    <w:rsid w:val="00FF5282"/>
    <w:rsid w:val="85B2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21"/>
    <w:qFormat/>
    <w:uiPriority w:val="1"/>
    <w:pPr>
      <w:autoSpaceDE w:val="0"/>
      <w:autoSpaceDN w:val="0"/>
      <w:adjustRightInd w:val="0"/>
      <w:spacing w:before="33"/>
      <w:ind w:left="121"/>
      <w:jc w:val="left"/>
    </w:pPr>
    <w:rPr>
      <w:rFonts w:ascii="宋体" w:cs="宋体"/>
      <w:kern w:val="0"/>
      <w:sz w:val="24"/>
      <w:szCs w:val="24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7">
    <w:name w:val="annotation subject"/>
    <w:basedOn w:val="2"/>
    <w:next w:val="2"/>
    <w:link w:val="20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59"/>
    <w:rPr>
      <w:rFonts w:asciiTheme="minorHAnsi" w:hAnsiTheme="minorHAnsi"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basedOn w:val="10"/>
    <w:semiHidden/>
    <w:unhideWhenUsed/>
    <w:qFormat/>
    <w:uiPriority w:val="99"/>
    <w:rPr>
      <w:vertAlign w:val="superscript"/>
    </w:rPr>
  </w:style>
  <w:style w:type="character" w:customStyle="1" w:styleId="15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4"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 w:cs="Times New Roman"/>
    </w:rPr>
  </w:style>
  <w:style w:type="character" w:customStyle="1" w:styleId="18">
    <w:name w:val="脚注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9">
    <w:name w:val="批注文字 字符"/>
    <w:basedOn w:val="10"/>
    <w:link w:val="2"/>
    <w:semiHidden/>
    <w:qFormat/>
    <w:uiPriority w:val="99"/>
  </w:style>
  <w:style w:type="character" w:customStyle="1" w:styleId="20">
    <w:name w:val="批注主题 字符"/>
    <w:basedOn w:val="19"/>
    <w:link w:val="7"/>
    <w:semiHidden/>
    <w:qFormat/>
    <w:uiPriority w:val="99"/>
    <w:rPr>
      <w:b/>
      <w:bCs/>
    </w:rPr>
  </w:style>
  <w:style w:type="character" w:customStyle="1" w:styleId="21">
    <w:name w:val="正文文本 字符"/>
    <w:basedOn w:val="10"/>
    <w:link w:val="3"/>
    <w:qFormat/>
    <w:uiPriority w:val="1"/>
    <w:rPr>
      <w:rFonts w:ascii="宋体" w:cs="宋体"/>
      <w:kern w:val="0"/>
      <w:sz w:val="24"/>
      <w:szCs w:val="24"/>
    </w:rPr>
  </w:style>
  <w:style w:type="character" w:customStyle="1" w:styleId="22">
    <w:name w:val="未处理的提及1"/>
    <w:basedOn w:val="10"/>
    <w:qFormat/>
    <w:uiPriority w:val="99"/>
    <w:rPr>
      <w:color w:val="605E5C"/>
      <w:shd w:val="clear" w:color="auto" w:fill="E1DFDD"/>
    </w:rPr>
  </w:style>
  <w:style w:type="character" w:customStyle="1" w:styleId="23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4">
    <w:name w:val="Revision"/>
    <w:hidden/>
    <w:semiHidden/>
    <w:qFormat/>
    <w:uiPriority w:val="99"/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342</Words>
  <Characters>1954</Characters>
  <Lines>16</Lines>
  <Paragraphs>4</Paragraphs>
  <TotalTime>110</TotalTime>
  <ScaleCrop>false</ScaleCrop>
  <LinksUpToDate>false</LinksUpToDate>
  <CharactersWithSpaces>2292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2021-11-22T16:09:00Z</dcterms:created>
  <dc:creator>Tongshang</dc:creator>
  <cp:lastModifiedBy>杨明芳</cp:lastModifiedBy>
  <dcterms:modified xsi:type="dcterms:W3CDTF">2022-02-15T11:38:10Z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