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440" w:lineRule="exact"/>
        <w:jc w:val="center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黑体"/>
          <w:sz w:val="30"/>
          <w:szCs w:val="30"/>
        </w:rPr>
        <w:t>经营者集中简易案件公示表</w:t>
      </w: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康桥资本投资管理有限公司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收购武田制药国际股份有限公司部分资产案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资本投资管理有限公司（“康桥”）拟以增资方式间接取得海森生物医药有限公司（“海森生物”）的单独控制权，海森生物将收购武田制药国际股份有限公司（“武田制药”）在中国的部分资产（“目标资产”）。交易后，康桥将通过海森生物取得对目标资产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1、康桥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康桥系一家以私募股权投资管理为主营业务的有限责任公司。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、目标资产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目标资产主要包括心血管及代谢领域的品牌药品，具体而言，包括其知识产权、销售团队以及存货。目标资产主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要是在中国生产和销售心血管及代谢领域品牌药品。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360" w:lineRule="auto"/>
              <w:jc w:val="left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中国境内抗高血压口服药物市场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康桥：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%；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海森生物：0%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目标资产：[0-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1]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pStyle w:val="1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中国境内抗高血压注射剂药物市场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康桥：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%；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海森生物：0%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目标资产：[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10]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pStyle w:val="15"/>
              <w:spacing w:line="360" w:lineRule="auto"/>
              <w:ind w:left="420" w:firstLine="0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pStyle w:val="15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中国境内糖尿病口服药物市场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康桥：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%；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海森生物：0%</w:t>
            </w:r>
          </w:p>
          <w:p>
            <w:pPr>
              <w:pStyle w:val="15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目标资产：[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5]</w:t>
            </w:r>
            <w:r>
              <w:rPr>
                <w:rFonts w:hint="eastAsia" w:ascii="Times New Roman" w:hAnsi="Times New Roman" w:eastAsia="仿宋" w:cs="宋体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spacing w:line="360" w:lineRule="auto"/>
              <w:rPr>
                <w:rFonts w:ascii="Times New Roman" w:hAnsi="Times New Roman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Times New Roman" w:hAnsi="Times New Roman"/>
          <w:sz w:val="24"/>
          <w:szCs w:val="24"/>
        </w:rPr>
        <w:br w:type="textWrapping"/>
      </w:r>
      <w:r>
        <w:rPr>
          <w:rFonts w:hint="eastAsia"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.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540CF"/>
    <w:multiLevelType w:val="multilevel"/>
    <w:tmpl w:val="042540CF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76A56B3"/>
    <w:multiLevelType w:val="multilevel"/>
    <w:tmpl w:val="576A56B3"/>
    <w:lvl w:ilvl="0" w:tentative="0">
      <w:start w:val="46"/>
      <w:numFmt w:val="bullet"/>
      <w:lvlText w:val="-"/>
      <w:lvlJc w:val="left"/>
      <w:pPr>
        <w:ind w:left="420" w:hanging="420"/>
      </w:pPr>
      <w:rPr>
        <w:rFonts w:hint="default" w:ascii="Arial" w:hAnsi="Arial" w:cs="Arial" w:eastAsiaTheme="minor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removePersonalInformation/>
  <w:bordersDoNotSurroundHeader w:val="true"/>
  <w:bordersDoNotSurroundFooter w:val="true"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DADBFFA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975</Characters>
  <Lines>8</Lines>
  <Paragraphs>2</Paragraphs>
  <TotalTime>0</TotalTime>
  <ScaleCrop>false</ScaleCrop>
  <LinksUpToDate>false</LinksUpToDate>
  <CharactersWithSpaces>1143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2022-01-26T11:15:00Z</dcterms:created>
  <dcterms:modified xsi:type="dcterms:W3CDTF">2022-02-15T09:48:11Z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