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b/>
          <w:bCs/>
          <w:sz w:val="28"/>
          <w:szCs w:val="28"/>
        </w:rPr>
        <w:t>经营者集中简易案件公示表</w:t>
      </w:r>
    </w:p>
    <w:p>
      <w:pPr>
        <w:spacing w:line="440" w:lineRule="exact"/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9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47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案件名称</w:t>
            </w:r>
          </w:p>
        </w:tc>
        <w:tc>
          <w:tcPr>
            <w:tcW w:w="6550" w:type="dxa"/>
            <w:gridSpan w:val="2"/>
            <w:shd w:val="clear" w:color="auto" w:fill="auto"/>
            <w:vAlign w:val="center"/>
          </w:tcPr>
          <w:p>
            <w:pPr>
              <w:spacing w:before="156" w:beforeLines="50"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雪佛龙公司与邦吉公司新设合营企业案（“</w:t>
            </w:r>
            <w:r>
              <w:rPr>
                <w:rFonts w:hint="eastAsia" w:ascii="Times New Roman" w:hAnsi="Times New Roman"/>
                <w:b/>
                <w:bCs/>
                <w:szCs w:val="21"/>
              </w:rPr>
              <w:t>拟议交易</w:t>
            </w:r>
            <w:r>
              <w:rPr>
                <w:rFonts w:hint="eastAsia" w:ascii="Times New Roman" w:hAnsi="Times New Roman"/>
                <w:szCs w:val="21"/>
              </w:rPr>
              <w:t>”）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交易概况（限200字内）</w:t>
            </w:r>
          </w:p>
        </w:tc>
        <w:tc>
          <w:tcPr>
            <w:tcW w:w="6550" w:type="dxa"/>
            <w:gridSpan w:val="2"/>
          </w:tcPr>
          <w:p>
            <w:pPr>
              <w:tabs>
                <w:tab w:val="left" w:pos="651"/>
              </w:tabs>
              <w:spacing w:before="156" w:beforeLines="50" w:after="156" w:afterLines="5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szCs w:val="21"/>
              </w:rPr>
              <w:t>拟议交易涉及雪佛龙公司（“</w:t>
            </w:r>
            <w:r>
              <w:rPr>
                <w:rFonts w:hint="eastAsia" w:ascii="Times New Roman" w:hAnsi="Times New Roman"/>
                <w:b/>
                <w:bCs/>
                <w:color w:val="000000"/>
                <w:szCs w:val="21"/>
              </w:rPr>
              <w:t>雪佛龙</w:t>
            </w:r>
            <w:r>
              <w:rPr>
                <w:rFonts w:hint="eastAsia" w:ascii="Times New Roman" w:hAnsi="Times New Roman"/>
                <w:color w:val="000000"/>
                <w:szCs w:val="21"/>
              </w:rPr>
              <w:t>”）和邦吉公司（“</w:t>
            </w:r>
            <w:r>
              <w:rPr>
                <w:rFonts w:hint="eastAsia" w:ascii="Times New Roman" w:hAnsi="Times New Roman"/>
                <w:b/>
                <w:bCs/>
                <w:color w:val="000000"/>
                <w:szCs w:val="21"/>
              </w:rPr>
              <w:t>邦吉</w:t>
            </w:r>
            <w:r>
              <w:rPr>
                <w:rFonts w:hint="eastAsia" w:ascii="Times New Roman" w:hAnsi="Times New Roman"/>
                <w:color w:val="000000"/>
                <w:szCs w:val="21"/>
              </w:rPr>
              <w:t>”）通过其子公司以5</w:t>
            </w:r>
            <w:r>
              <w:rPr>
                <w:rFonts w:ascii="Times New Roman" w:hAnsi="Times New Roman"/>
                <w:color w:val="000000"/>
                <w:szCs w:val="21"/>
              </w:rPr>
              <w:t>0/50</w:t>
            </w:r>
            <w:r>
              <w:rPr>
                <w:rFonts w:hint="eastAsia" w:ascii="Times New Roman" w:hAnsi="Times New Roman"/>
                <w:color w:val="000000"/>
                <w:szCs w:val="21"/>
              </w:rPr>
              <w:t>的持股比例在美国共同设立一家新的合营企业。拟议交易完成后，雪佛龙和邦吉将共同控制该合营企业。</w:t>
            </w:r>
            <w:r>
              <w:t>合营企业初期将主要专注于生产大豆油和豆粕，并独家销售给美国的雪佛龙和邦吉。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pStyle w:val="20"/>
              <w:numPr>
                <w:ilvl w:val="0"/>
                <w:numId w:val="1"/>
              </w:numPr>
              <w:spacing w:before="156" w:beforeLines="50" w:after="156" w:afterLines="50"/>
              <w:ind w:left="357" w:hanging="357" w:firstLineChars="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雪佛龙</w:t>
            </w:r>
          </w:p>
        </w:tc>
        <w:tc>
          <w:tcPr>
            <w:tcW w:w="4754" w:type="dxa"/>
          </w:tcPr>
          <w:p>
            <w:pPr>
              <w:spacing w:before="156" w:beforeLines="50"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雪佛龙成立于1926年1月27日，总部位于美国。雪佛龙在全球范围内从事综合能源和化工业务。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96" w:type="dxa"/>
          </w:tcPr>
          <w:p>
            <w:pPr>
              <w:pStyle w:val="20"/>
              <w:numPr>
                <w:ilvl w:val="0"/>
                <w:numId w:val="1"/>
              </w:numPr>
              <w:spacing w:before="156" w:beforeLines="50" w:after="156" w:afterLines="50"/>
              <w:ind w:firstLineChars="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邦吉</w:t>
            </w:r>
          </w:p>
        </w:tc>
        <w:tc>
          <w:tcPr>
            <w:tcW w:w="4754" w:type="dxa"/>
          </w:tcPr>
          <w:p>
            <w:pPr>
              <w:spacing w:before="156" w:beforeLines="50" w:after="156" w:afterLines="5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szCs w:val="21"/>
              </w:rPr>
              <w:t>邦吉成立于1995年5月18日，总部位于密苏里州圣路易斯，是一家全球性的食品和农业综合企业。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简易案件理由（可以单选，也可以多选）</w:t>
            </w: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Cs w:val="21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>
              <w:rPr>
                <w:rFonts w:ascii="Times New Roman" w:hAnsi="Times New Roman" w:cs="Arial"/>
                <w:szCs w:val="21"/>
                <w:lang w:val="en-GB"/>
              </w:rPr>
              <w:t xml:space="preserve"> </w:t>
            </w:r>
            <w:r>
              <w:rPr>
                <w:rFonts w:ascii="Times New Roman" w:hAnsi="Times New Roman"/>
                <w:szCs w:val="21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Cs w:val="21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cs="Arial"/>
                <w:szCs w:val="21"/>
                <w:lang w:val="en-GB"/>
              </w:rPr>
              <w:sym w:font="Wingdings" w:char="F0FE"/>
            </w:r>
            <w:r>
              <w:rPr>
                <w:rFonts w:ascii="Times New Roman" w:hAnsi="Times New Roman"/>
                <w:szCs w:val="21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Cs w:val="21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Cs w:val="21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备注</w:t>
            </w:r>
          </w:p>
        </w:tc>
        <w:tc>
          <w:tcPr>
            <w:tcW w:w="6550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不适用</w:t>
            </w:r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/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MingLiU">
    <w:altName w:val="Droid Sans Fallback"/>
    <w:panose1 w:val="02010601000101010101"/>
    <w:charset w:val="88"/>
    <w:family w:val="auto"/>
    <w:pitch w:val="default"/>
    <w:sig w:usb0="00000000" w:usb1="00000000" w:usb2="00000010" w:usb3="00000000" w:csb0="00100000" w:csb1="00000000"/>
  </w:font>
  <w:font w:name="Arial">
    <w:altName w:val="Times New Roman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89376438"/>
      <w:docPartObj>
        <w:docPartGallery w:val="AutoText"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AutoText"/>
          </w:docPartObj>
        </w:sdtPr>
        <w:sdtEndPr>
          <w:rPr>
            <w:rFonts w:ascii="Times New Roman" w:hAnsi="Times New Roman"/>
          </w:rPr>
        </w:sdtEndPr>
        <w:sdtContent>
          <w:p>
            <w:pPr>
              <w:pStyle w:val="5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zh-C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 xml:space="preserve">PAGE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</w:rPr>
              <w:t>1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lang w:val="zh-CN"/>
              </w:rPr>
              <w:t xml:space="preserve"> /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 xml:space="preserve">NUMPAGES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</w:rPr>
              <w:t>1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6A4903"/>
    <w:multiLevelType w:val="multilevel"/>
    <w:tmpl w:val="1C6A490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true"/>
  <w:bordersDoNotSurroundFooter w:val="true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5B69"/>
    <w:rsid w:val="00006080"/>
    <w:rsid w:val="0002587C"/>
    <w:rsid w:val="00036A9D"/>
    <w:rsid w:val="00037213"/>
    <w:rsid w:val="00045507"/>
    <w:rsid w:val="0005594E"/>
    <w:rsid w:val="0007651B"/>
    <w:rsid w:val="00082738"/>
    <w:rsid w:val="00087D30"/>
    <w:rsid w:val="000917F0"/>
    <w:rsid w:val="00094095"/>
    <w:rsid w:val="000A3CA7"/>
    <w:rsid w:val="000B0EC8"/>
    <w:rsid w:val="000C5BC7"/>
    <w:rsid w:val="000E7FC9"/>
    <w:rsid w:val="00100B60"/>
    <w:rsid w:val="00113543"/>
    <w:rsid w:val="00117B9E"/>
    <w:rsid w:val="00137BCF"/>
    <w:rsid w:val="001417D8"/>
    <w:rsid w:val="0015166A"/>
    <w:rsid w:val="00165964"/>
    <w:rsid w:val="001913F9"/>
    <w:rsid w:val="00192C2C"/>
    <w:rsid w:val="00193065"/>
    <w:rsid w:val="001A6CB8"/>
    <w:rsid w:val="001C1B23"/>
    <w:rsid w:val="001E393B"/>
    <w:rsid w:val="0020313A"/>
    <w:rsid w:val="00205795"/>
    <w:rsid w:val="002128F6"/>
    <w:rsid w:val="002158DC"/>
    <w:rsid w:val="00233AB0"/>
    <w:rsid w:val="00245776"/>
    <w:rsid w:val="00262658"/>
    <w:rsid w:val="00266A6B"/>
    <w:rsid w:val="00274581"/>
    <w:rsid w:val="0029252D"/>
    <w:rsid w:val="002E2C9F"/>
    <w:rsid w:val="002E720A"/>
    <w:rsid w:val="002F2D60"/>
    <w:rsid w:val="00302FE1"/>
    <w:rsid w:val="003048E8"/>
    <w:rsid w:val="003061D7"/>
    <w:rsid w:val="00307976"/>
    <w:rsid w:val="0031093F"/>
    <w:rsid w:val="003145BC"/>
    <w:rsid w:val="00316B15"/>
    <w:rsid w:val="0032355A"/>
    <w:rsid w:val="00324F6D"/>
    <w:rsid w:val="00396526"/>
    <w:rsid w:val="003C306B"/>
    <w:rsid w:val="003C75D7"/>
    <w:rsid w:val="003D3128"/>
    <w:rsid w:val="003D60DB"/>
    <w:rsid w:val="003F170C"/>
    <w:rsid w:val="004030E1"/>
    <w:rsid w:val="00427074"/>
    <w:rsid w:val="00445F6B"/>
    <w:rsid w:val="00462174"/>
    <w:rsid w:val="00497E7B"/>
    <w:rsid w:val="004B00C8"/>
    <w:rsid w:val="004B3A56"/>
    <w:rsid w:val="004C2586"/>
    <w:rsid w:val="00507D9C"/>
    <w:rsid w:val="00525467"/>
    <w:rsid w:val="00527F6A"/>
    <w:rsid w:val="00557102"/>
    <w:rsid w:val="00563A4C"/>
    <w:rsid w:val="00566CC7"/>
    <w:rsid w:val="00574B4E"/>
    <w:rsid w:val="00574F2D"/>
    <w:rsid w:val="0058057F"/>
    <w:rsid w:val="005830FE"/>
    <w:rsid w:val="005B533D"/>
    <w:rsid w:val="005C3D32"/>
    <w:rsid w:val="005D087D"/>
    <w:rsid w:val="005D1309"/>
    <w:rsid w:val="005D1B7F"/>
    <w:rsid w:val="005E5B91"/>
    <w:rsid w:val="005E6BC0"/>
    <w:rsid w:val="005F167B"/>
    <w:rsid w:val="005F5FFA"/>
    <w:rsid w:val="006113D3"/>
    <w:rsid w:val="00616F24"/>
    <w:rsid w:val="006300C0"/>
    <w:rsid w:val="006408AB"/>
    <w:rsid w:val="006447F2"/>
    <w:rsid w:val="00644C5B"/>
    <w:rsid w:val="00645D6F"/>
    <w:rsid w:val="006631B4"/>
    <w:rsid w:val="006670A5"/>
    <w:rsid w:val="0067330C"/>
    <w:rsid w:val="00675286"/>
    <w:rsid w:val="00692DA5"/>
    <w:rsid w:val="00693879"/>
    <w:rsid w:val="006A4D58"/>
    <w:rsid w:val="006A4F76"/>
    <w:rsid w:val="006A5728"/>
    <w:rsid w:val="006B15E8"/>
    <w:rsid w:val="006B49BF"/>
    <w:rsid w:val="006C1E98"/>
    <w:rsid w:val="006D0734"/>
    <w:rsid w:val="006D6449"/>
    <w:rsid w:val="006E4C68"/>
    <w:rsid w:val="00720227"/>
    <w:rsid w:val="00720679"/>
    <w:rsid w:val="00734239"/>
    <w:rsid w:val="007364E2"/>
    <w:rsid w:val="0074694B"/>
    <w:rsid w:val="007543A3"/>
    <w:rsid w:val="00785C5F"/>
    <w:rsid w:val="007A0249"/>
    <w:rsid w:val="007C000E"/>
    <w:rsid w:val="007C7803"/>
    <w:rsid w:val="007F7871"/>
    <w:rsid w:val="008010AD"/>
    <w:rsid w:val="0080386C"/>
    <w:rsid w:val="008110BD"/>
    <w:rsid w:val="008354FF"/>
    <w:rsid w:val="0084303C"/>
    <w:rsid w:val="0084728A"/>
    <w:rsid w:val="008736FC"/>
    <w:rsid w:val="008750C5"/>
    <w:rsid w:val="008764AD"/>
    <w:rsid w:val="00877D76"/>
    <w:rsid w:val="00885D99"/>
    <w:rsid w:val="008926BD"/>
    <w:rsid w:val="0089745C"/>
    <w:rsid w:val="008A7ED7"/>
    <w:rsid w:val="008C10CC"/>
    <w:rsid w:val="008E44E6"/>
    <w:rsid w:val="008E5AC1"/>
    <w:rsid w:val="008F18B2"/>
    <w:rsid w:val="008F634B"/>
    <w:rsid w:val="00900557"/>
    <w:rsid w:val="009134D0"/>
    <w:rsid w:val="0093344B"/>
    <w:rsid w:val="0095347A"/>
    <w:rsid w:val="009733B4"/>
    <w:rsid w:val="0097529A"/>
    <w:rsid w:val="00997099"/>
    <w:rsid w:val="009A7BF2"/>
    <w:rsid w:val="009B22D1"/>
    <w:rsid w:val="009B5555"/>
    <w:rsid w:val="009C1D9D"/>
    <w:rsid w:val="009C5ACB"/>
    <w:rsid w:val="009E544B"/>
    <w:rsid w:val="009F147B"/>
    <w:rsid w:val="009F7FE9"/>
    <w:rsid w:val="00A042B2"/>
    <w:rsid w:val="00A43A3E"/>
    <w:rsid w:val="00A67610"/>
    <w:rsid w:val="00A73519"/>
    <w:rsid w:val="00A73EC0"/>
    <w:rsid w:val="00A77BD3"/>
    <w:rsid w:val="00AA1615"/>
    <w:rsid w:val="00AA1A78"/>
    <w:rsid w:val="00AB1BC4"/>
    <w:rsid w:val="00AD646B"/>
    <w:rsid w:val="00AE4C10"/>
    <w:rsid w:val="00AF0BB8"/>
    <w:rsid w:val="00B01090"/>
    <w:rsid w:val="00B34D88"/>
    <w:rsid w:val="00B357DC"/>
    <w:rsid w:val="00B60E5E"/>
    <w:rsid w:val="00B8768F"/>
    <w:rsid w:val="00BA0750"/>
    <w:rsid w:val="00BA16D2"/>
    <w:rsid w:val="00BA4F7F"/>
    <w:rsid w:val="00BA6F07"/>
    <w:rsid w:val="00BA7437"/>
    <w:rsid w:val="00BB2377"/>
    <w:rsid w:val="00BB3798"/>
    <w:rsid w:val="00BB4C43"/>
    <w:rsid w:val="00BC44C2"/>
    <w:rsid w:val="00BC6BEF"/>
    <w:rsid w:val="00BC768A"/>
    <w:rsid w:val="00BD3D34"/>
    <w:rsid w:val="00BD6EBE"/>
    <w:rsid w:val="00BE3D18"/>
    <w:rsid w:val="00BF0D84"/>
    <w:rsid w:val="00BF6C60"/>
    <w:rsid w:val="00BF7D19"/>
    <w:rsid w:val="00BF7F17"/>
    <w:rsid w:val="00C068D5"/>
    <w:rsid w:val="00C20325"/>
    <w:rsid w:val="00C30030"/>
    <w:rsid w:val="00C318CE"/>
    <w:rsid w:val="00C43A07"/>
    <w:rsid w:val="00C52346"/>
    <w:rsid w:val="00C75B25"/>
    <w:rsid w:val="00C76979"/>
    <w:rsid w:val="00C76F0E"/>
    <w:rsid w:val="00C8184D"/>
    <w:rsid w:val="00C84314"/>
    <w:rsid w:val="00C9068E"/>
    <w:rsid w:val="00CD148B"/>
    <w:rsid w:val="00CD25EE"/>
    <w:rsid w:val="00CD2BEC"/>
    <w:rsid w:val="00D001A9"/>
    <w:rsid w:val="00D11610"/>
    <w:rsid w:val="00D21777"/>
    <w:rsid w:val="00D2453A"/>
    <w:rsid w:val="00D370A7"/>
    <w:rsid w:val="00D451A4"/>
    <w:rsid w:val="00D515E7"/>
    <w:rsid w:val="00D73A38"/>
    <w:rsid w:val="00DA3B19"/>
    <w:rsid w:val="00DC70AB"/>
    <w:rsid w:val="00DD1C7B"/>
    <w:rsid w:val="00DE39D7"/>
    <w:rsid w:val="00DE7DBD"/>
    <w:rsid w:val="00DF4BCE"/>
    <w:rsid w:val="00E11C0D"/>
    <w:rsid w:val="00E1347C"/>
    <w:rsid w:val="00E21F07"/>
    <w:rsid w:val="00E25016"/>
    <w:rsid w:val="00E32A0C"/>
    <w:rsid w:val="00E34BA1"/>
    <w:rsid w:val="00E54B29"/>
    <w:rsid w:val="00E7245D"/>
    <w:rsid w:val="00E85DDF"/>
    <w:rsid w:val="00E86BD6"/>
    <w:rsid w:val="00E915EC"/>
    <w:rsid w:val="00EB0EE6"/>
    <w:rsid w:val="00EB2C9A"/>
    <w:rsid w:val="00EC669A"/>
    <w:rsid w:val="00ED21B1"/>
    <w:rsid w:val="00ED4254"/>
    <w:rsid w:val="00EE2784"/>
    <w:rsid w:val="00EE4AF0"/>
    <w:rsid w:val="00F16269"/>
    <w:rsid w:val="00F234B2"/>
    <w:rsid w:val="00F26A0F"/>
    <w:rsid w:val="00F418F4"/>
    <w:rsid w:val="00F41E5F"/>
    <w:rsid w:val="00F42BAC"/>
    <w:rsid w:val="00F5086B"/>
    <w:rsid w:val="00F87C1F"/>
    <w:rsid w:val="00FD4A2C"/>
    <w:rsid w:val="00FE3C66"/>
    <w:rsid w:val="00FE4CAC"/>
    <w:rsid w:val="00FF2D6D"/>
    <w:rsid w:val="6F7B9E3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0" w:semiHidden="0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2"/>
    <w:semiHidden/>
    <w:unhideWhenUsed/>
    <w:qFormat/>
    <w:uiPriority w:val="99"/>
    <w:pPr>
      <w:jc w:val="left"/>
    </w:pPr>
  </w:style>
  <w:style w:type="paragraph" w:styleId="3">
    <w:name w:val="endnote text"/>
    <w:basedOn w:val="1"/>
    <w:link w:val="15"/>
    <w:semiHidden/>
    <w:unhideWhenUsed/>
    <w:qFormat/>
    <w:uiPriority w:val="99"/>
    <w:pPr>
      <w:snapToGrid w:val="0"/>
      <w:jc w:val="left"/>
    </w:p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note text"/>
    <w:basedOn w:val="1"/>
    <w:link w:val="21"/>
    <w:semiHidden/>
    <w:qFormat/>
    <w:uiPriority w:val="99"/>
    <w:pPr>
      <w:snapToGrid w:val="0"/>
      <w:jc w:val="left"/>
    </w:pPr>
    <w:rPr>
      <w:rFonts w:ascii="Times New Roman" w:hAnsi="Times New Roman" w:eastAsia="PMingLiU"/>
      <w:sz w:val="20"/>
      <w:szCs w:val="20"/>
      <w:lang w:eastAsia="zh-TW"/>
    </w:rPr>
  </w:style>
  <w:style w:type="paragraph" w:styleId="8">
    <w:name w:val="annotation subject"/>
    <w:basedOn w:val="2"/>
    <w:next w:val="2"/>
    <w:link w:val="23"/>
    <w:semiHidden/>
    <w:unhideWhenUsed/>
    <w:qFormat/>
    <w:uiPriority w:val="99"/>
    <w:rPr>
      <w:b/>
      <w:bCs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endnote reference"/>
    <w:semiHidden/>
    <w:unhideWhenUsed/>
    <w:qFormat/>
    <w:uiPriority w:val="99"/>
    <w:rPr>
      <w:vertAlign w:val="superscript"/>
    </w:rPr>
  </w:style>
  <w:style w:type="character" w:styleId="13">
    <w:name w:val="annotation reference"/>
    <w:basedOn w:val="11"/>
    <w:unhideWhenUsed/>
    <w:qFormat/>
    <w:uiPriority w:val="0"/>
    <w:rPr>
      <w:sz w:val="21"/>
      <w:szCs w:val="21"/>
    </w:r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character" w:customStyle="1" w:styleId="15">
    <w:name w:val="尾注文本 Char"/>
    <w:basedOn w:val="11"/>
    <w:link w:val="3"/>
    <w:semiHidden/>
    <w:qFormat/>
    <w:uiPriority w:val="99"/>
  </w:style>
  <w:style w:type="character" w:customStyle="1" w:styleId="16">
    <w:name w:val="页眉 Char"/>
    <w:link w:val="6"/>
    <w:qFormat/>
    <w:uiPriority w:val="99"/>
    <w:rPr>
      <w:sz w:val="18"/>
      <w:szCs w:val="18"/>
    </w:rPr>
  </w:style>
  <w:style w:type="character" w:customStyle="1" w:styleId="17">
    <w:name w:val="页脚 Char"/>
    <w:link w:val="5"/>
    <w:qFormat/>
    <w:uiPriority w:val="99"/>
    <w:rPr>
      <w:sz w:val="18"/>
      <w:szCs w:val="18"/>
    </w:rPr>
  </w:style>
  <w:style w:type="character" w:customStyle="1" w:styleId="18">
    <w:name w:val="批注框文本 Char"/>
    <w:link w:val="4"/>
    <w:semiHidden/>
    <w:qFormat/>
    <w:uiPriority w:val="99"/>
    <w:rPr>
      <w:kern w:val="2"/>
      <w:sz w:val="18"/>
      <w:szCs w:val="18"/>
    </w:rPr>
  </w:style>
  <w:style w:type="paragraph" w:customStyle="1" w:styleId="19">
    <w:name w:val="列出段落1"/>
    <w:basedOn w:val="1"/>
    <w:qFormat/>
    <w:uiPriority w:val="34"/>
    <w:pPr>
      <w:ind w:firstLine="420" w:firstLineChars="200"/>
    </w:p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脚注文本 Char"/>
    <w:link w:val="7"/>
    <w:semiHidden/>
    <w:qFormat/>
    <w:uiPriority w:val="99"/>
    <w:rPr>
      <w:rFonts w:ascii="Times New Roman" w:hAnsi="Times New Roman" w:eastAsia="PMingLiU"/>
      <w:kern w:val="2"/>
      <w:lang w:eastAsia="zh-TW"/>
    </w:rPr>
  </w:style>
  <w:style w:type="character" w:customStyle="1" w:styleId="22">
    <w:name w:val="批注文字 Char"/>
    <w:basedOn w:val="11"/>
    <w:link w:val="2"/>
    <w:semiHidden/>
    <w:qFormat/>
    <w:uiPriority w:val="99"/>
    <w:rPr>
      <w:kern w:val="2"/>
      <w:sz w:val="21"/>
      <w:szCs w:val="22"/>
    </w:rPr>
  </w:style>
  <w:style w:type="character" w:customStyle="1" w:styleId="23">
    <w:name w:val="批注主题 Char"/>
    <w:basedOn w:val="22"/>
    <w:link w:val="8"/>
    <w:semiHidden/>
    <w:qFormat/>
    <w:uiPriority w:val="99"/>
    <w:rPr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新日鐵住金株式会社</Company>
  <Pages>1</Pages>
  <Words>89</Words>
  <Characters>509</Characters>
  <Lines>4</Lines>
  <Paragraphs>1</Paragraphs>
  <TotalTime>38</TotalTime>
  <ScaleCrop>false</ScaleCrop>
  <LinksUpToDate>false</LinksUpToDate>
  <CharactersWithSpaces>597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2021-10-28T17:00:00Z</dcterms:created>
  <dc:creator>dell</dc:creator>
  <cp:lastModifiedBy>greatwall</cp:lastModifiedBy>
  <cp:lastPrinted>2017-01-18T15:04:00Z</cp:lastPrinted>
  <dcterms:modified xsi:type="dcterms:W3CDTF">2022-03-23T13:45:54Z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2052-11.8.2.10458</vt:lpwstr>
  </property>
</Properties>
</file>