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440" w:lineRule="exact"/>
        <w:jc w:val="center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经营者集中简易案件公示表</w:t>
      </w:r>
    </w:p>
    <w:p>
      <w:pPr>
        <w:spacing w:line="440" w:lineRule="exact"/>
        <w:jc w:val="center"/>
        <w:rPr>
          <w:rFonts w:ascii="Times New Roman" w:hAnsi="Times New Roman"/>
          <w:sz w:val="28"/>
          <w:szCs w:val="28"/>
        </w:rPr>
      </w:pPr>
    </w:p>
    <w:tbl>
      <w:tblPr>
        <w:tblStyle w:val="9"/>
        <w:tblW w:w="835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9"/>
        <w:gridCol w:w="1796"/>
        <w:gridCol w:w="4754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9" w:type="dxa"/>
            <w:shd w:val="clear" w:color="auto" w:fill="D9D9D9"/>
            <w:vAlign w:val="center"/>
          </w:tcPr>
          <w:p>
            <w:pPr>
              <w:spacing w:before="156" w:beforeLines="50" w:after="156" w:afterLines="50" w:line="500" w:lineRule="exact"/>
              <w:rPr>
                <w:rFonts w:ascii="Times New Roman" w:hAnsi="Times New Roman"/>
                <w:b/>
                <w:bCs/>
                <w:szCs w:val="21"/>
              </w:rPr>
            </w:pPr>
            <w:r>
              <w:rPr>
                <w:rFonts w:ascii="Times New Roman" w:hAnsi="Times New Roman"/>
                <w:b/>
                <w:bCs/>
                <w:szCs w:val="21"/>
              </w:rPr>
              <w:t>案件名称</w:t>
            </w:r>
          </w:p>
        </w:tc>
        <w:tc>
          <w:tcPr>
            <w:tcW w:w="6550" w:type="dxa"/>
            <w:gridSpan w:val="2"/>
            <w:shd w:val="clear" w:color="auto" w:fill="auto"/>
            <w:vAlign w:val="center"/>
          </w:tcPr>
          <w:p>
            <w:pPr>
              <w:spacing w:before="156" w:beforeLines="50" w:after="156" w:afterLines="50"/>
              <w:rPr>
                <w:rFonts w:ascii="Times New Roman" w:hAnsi="Times New Roman"/>
                <w:szCs w:val="21"/>
              </w:rPr>
            </w:pPr>
            <w:r>
              <w:rPr>
                <w:rFonts w:hint="eastAsia" w:ascii="Times New Roman" w:hAnsi="Times New Roman"/>
                <w:szCs w:val="21"/>
              </w:rPr>
              <w:t>巴斯夫欧洲公司与贺利氏控股有限公司新设合营企业案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93" w:hRule="atLeast"/>
        </w:trPr>
        <w:tc>
          <w:tcPr>
            <w:tcW w:w="1809" w:type="dxa"/>
            <w:shd w:val="clear" w:color="auto" w:fill="D9D9D9"/>
            <w:vAlign w:val="center"/>
          </w:tcPr>
          <w:p>
            <w:pPr>
              <w:spacing w:before="156" w:beforeLines="50" w:after="156" w:afterLines="50" w:line="500" w:lineRule="exact"/>
              <w:rPr>
                <w:rFonts w:ascii="Times New Roman" w:hAnsi="Times New Roman"/>
                <w:b/>
                <w:bCs/>
                <w:szCs w:val="21"/>
              </w:rPr>
            </w:pPr>
            <w:r>
              <w:rPr>
                <w:rFonts w:ascii="Times New Roman" w:hAnsi="Times New Roman"/>
                <w:b/>
                <w:bCs/>
                <w:szCs w:val="21"/>
              </w:rPr>
              <w:t>交易概况（限200字内）</w:t>
            </w:r>
          </w:p>
        </w:tc>
        <w:tc>
          <w:tcPr>
            <w:tcW w:w="6550" w:type="dxa"/>
            <w:gridSpan w:val="2"/>
            <w:vAlign w:val="center"/>
          </w:tcPr>
          <w:p>
            <w:pPr>
              <w:spacing w:before="156" w:beforeLines="50" w:after="156" w:afterLines="50"/>
              <w:rPr>
                <w:rFonts w:ascii="Times New Roman" w:hAnsi="Times New Roman"/>
                <w:color w:val="000000"/>
                <w:szCs w:val="21"/>
              </w:rPr>
            </w:pPr>
            <w:r>
              <w:rPr>
                <w:rFonts w:hint="eastAsia" w:ascii="Times New Roman" w:hAnsi="Times New Roman"/>
                <w:szCs w:val="21"/>
              </w:rPr>
              <w:t>巴斯夫欧洲公司</w:t>
            </w:r>
            <w:r>
              <w:rPr>
                <w:rFonts w:hint="eastAsia" w:ascii="Times New Roman" w:hAnsi="Times New Roman"/>
                <w:bCs/>
                <w:szCs w:val="21"/>
              </w:rPr>
              <w:t>（“</w:t>
            </w:r>
            <w:r>
              <w:rPr>
                <w:rFonts w:hint="eastAsia" w:ascii="Times New Roman" w:hAnsi="Times New Roman"/>
                <w:szCs w:val="21"/>
              </w:rPr>
              <w:t>巴斯夫</w:t>
            </w:r>
            <w:r>
              <w:rPr>
                <w:rFonts w:hint="eastAsia" w:ascii="Times New Roman" w:hAnsi="Times New Roman"/>
                <w:bCs/>
                <w:color w:val="000000"/>
                <w:szCs w:val="21"/>
              </w:rPr>
              <w:t>”）</w:t>
            </w:r>
            <w:r>
              <w:rPr>
                <w:rFonts w:hint="eastAsia" w:ascii="Times New Roman" w:hAnsi="Times New Roman"/>
                <w:color w:val="000000"/>
                <w:szCs w:val="21"/>
              </w:rPr>
              <w:t>与</w:t>
            </w:r>
            <w:r>
              <w:rPr>
                <w:rFonts w:hint="eastAsia" w:ascii="Times New Roman" w:hAnsi="Times New Roman"/>
                <w:szCs w:val="21"/>
              </w:rPr>
              <w:t>贺利氏控股有限公司</w:t>
            </w:r>
            <w:r>
              <w:rPr>
                <w:rFonts w:hint="eastAsia" w:ascii="Times New Roman" w:hAnsi="Times New Roman"/>
                <w:bCs/>
                <w:color w:val="000000"/>
                <w:szCs w:val="21"/>
              </w:rPr>
              <w:t>（“</w:t>
            </w:r>
            <w:r>
              <w:rPr>
                <w:rFonts w:hint="eastAsia" w:ascii="Times New Roman" w:hAnsi="Times New Roman"/>
                <w:szCs w:val="21"/>
              </w:rPr>
              <w:t>贺利氏</w:t>
            </w:r>
            <w:r>
              <w:rPr>
                <w:rFonts w:hint="eastAsia" w:ascii="Times New Roman" w:hAnsi="Times New Roman"/>
                <w:bCs/>
                <w:color w:val="000000"/>
                <w:szCs w:val="21"/>
              </w:rPr>
              <w:t>”）</w:t>
            </w:r>
            <w:r>
              <w:rPr>
                <w:rFonts w:hint="eastAsia" w:ascii="Times New Roman" w:hAnsi="Times New Roman"/>
                <w:color w:val="000000"/>
                <w:szCs w:val="21"/>
              </w:rPr>
              <w:t>拟直接或通过旗下子公司在中国共同设立一家合资企业。合资企业将由巴斯夫和贺利氏共同控制。合资企业将从事含铂族金属的催化剂回收业务，其经营活动所涉及的地域范围将仅限于中国。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8" w:hRule="atLeast"/>
        </w:trPr>
        <w:tc>
          <w:tcPr>
            <w:tcW w:w="1809" w:type="dxa"/>
            <w:vMerge w:val="restart"/>
            <w:shd w:val="clear" w:color="auto" w:fill="D9D9D9"/>
            <w:vAlign w:val="center"/>
          </w:tcPr>
          <w:p>
            <w:pPr>
              <w:spacing w:before="156" w:beforeLines="50" w:after="156" w:afterLines="50" w:line="500" w:lineRule="exact"/>
              <w:rPr>
                <w:rFonts w:ascii="Times New Roman" w:hAnsi="Times New Roman"/>
                <w:b/>
                <w:bCs/>
                <w:szCs w:val="21"/>
              </w:rPr>
            </w:pPr>
            <w:r>
              <w:rPr>
                <w:rFonts w:ascii="Times New Roman" w:hAnsi="Times New Roman"/>
                <w:b/>
                <w:bCs/>
                <w:szCs w:val="21"/>
              </w:rPr>
              <w:t>参与集中的经营者简介</w:t>
            </w:r>
          </w:p>
        </w:tc>
        <w:tc>
          <w:tcPr>
            <w:tcW w:w="1796" w:type="dxa"/>
            <w:vAlign w:val="center"/>
          </w:tcPr>
          <w:p>
            <w:pPr>
              <w:spacing w:before="156" w:beforeLines="50" w:after="156" w:afterLines="50"/>
              <w:rPr>
                <w:rFonts w:ascii="Times New Roman" w:hAnsi="Times New Roman"/>
                <w:szCs w:val="21"/>
              </w:rPr>
            </w:pPr>
            <w:r>
              <w:rPr>
                <w:rFonts w:hint="eastAsia" w:ascii="Times New Roman" w:hAnsi="Times New Roman"/>
                <w:szCs w:val="21"/>
              </w:rPr>
              <w:t>巴斯夫</w:t>
            </w:r>
          </w:p>
        </w:tc>
        <w:tc>
          <w:tcPr>
            <w:tcW w:w="4754" w:type="dxa"/>
            <w:vAlign w:val="center"/>
          </w:tcPr>
          <w:p>
            <w:pPr>
              <w:spacing w:before="156" w:beforeLines="50" w:after="156" w:afterLines="50"/>
              <w:rPr>
                <w:rFonts w:ascii="Times New Roman" w:hAnsi="Times New Roman"/>
                <w:szCs w:val="21"/>
              </w:rPr>
            </w:pPr>
            <w:r>
              <w:rPr>
                <w:rFonts w:hint="eastAsia" w:ascii="Times New Roman" w:hAnsi="Times New Roman"/>
                <w:szCs w:val="21"/>
              </w:rPr>
              <w:t>巴斯夫是一家国际化工和工业公司，于</w:t>
            </w:r>
            <w:r>
              <w:rPr>
                <w:rFonts w:ascii="Times New Roman" w:hAnsi="Times New Roman"/>
                <w:szCs w:val="21"/>
              </w:rPr>
              <w:t>1865</w:t>
            </w:r>
            <w:r>
              <w:rPr>
                <w:rFonts w:hint="eastAsia" w:ascii="Times New Roman" w:hAnsi="Times New Roman"/>
                <w:szCs w:val="21"/>
              </w:rPr>
              <w:t>年成立于德国。巴斯夫主要从事化学品、材料、工业解决方案、表面处理技术、营养与护理和农业解决方案六大业务领域。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1809" w:type="dxa"/>
            <w:vMerge w:val="continue"/>
            <w:shd w:val="clear" w:color="auto" w:fill="D9D9D9"/>
            <w:vAlign w:val="center"/>
          </w:tcPr>
          <w:p>
            <w:pPr>
              <w:spacing w:before="156" w:beforeLines="50" w:after="156" w:afterLines="50" w:line="500" w:lineRule="exact"/>
              <w:rPr>
                <w:rFonts w:ascii="Times New Roman" w:hAnsi="Times New Roman"/>
                <w:szCs w:val="21"/>
              </w:rPr>
            </w:pPr>
          </w:p>
        </w:tc>
        <w:tc>
          <w:tcPr>
            <w:tcW w:w="1796" w:type="dxa"/>
            <w:vAlign w:val="center"/>
          </w:tcPr>
          <w:p>
            <w:pPr>
              <w:spacing w:before="156" w:beforeLines="50" w:after="156" w:afterLines="50"/>
              <w:rPr>
                <w:rFonts w:ascii="Times New Roman" w:hAnsi="Times New Roman"/>
                <w:szCs w:val="21"/>
              </w:rPr>
            </w:pPr>
            <w:r>
              <w:rPr>
                <w:rFonts w:hint="eastAsia" w:ascii="Times New Roman" w:hAnsi="Times New Roman"/>
                <w:szCs w:val="21"/>
              </w:rPr>
              <w:t>贺利氏</w:t>
            </w:r>
          </w:p>
        </w:tc>
        <w:tc>
          <w:tcPr>
            <w:tcW w:w="4754" w:type="dxa"/>
            <w:vAlign w:val="center"/>
          </w:tcPr>
          <w:p>
            <w:pPr>
              <w:spacing w:before="156" w:beforeLines="50" w:after="156" w:afterLines="50"/>
              <w:rPr>
                <w:rFonts w:ascii="Times New Roman" w:hAnsi="Times New Roman"/>
                <w:color w:val="000000"/>
                <w:szCs w:val="21"/>
              </w:rPr>
            </w:pPr>
            <w:r>
              <w:rPr>
                <w:rFonts w:hint="eastAsia" w:ascii="Times New Roman" w:hAnsi="Times New Roman"/>
                <w:szCs w:val="21"/>
              </w:rPr>
              <w:t>贺利氏</w:t>
            </w:r>
            <w:r>
              <w:rPr>
                <w:rFonts w:hint="eastAsia" w:ascii="Times New Roman" w:hAnsi="Times New Roman"/>
                <w:color w:val="000000"/>
                <w:szCs w:val="21"/>
              </w:rPr>
              <w:t>于</w:t>
            </w:r>
            <w:r>
              <w:rPr>
                <w:rFonts w:ascii="Times New Roman" w:hAnsi="Times New Roman"/>
                <w:color w:val="000000"/>
                <w:szCs w:val="21"/>
              </w:rPr>
              <w:t>1985</w:t>
            </w:r>
            <w:r>
              <w:rPr>
                <w:rFonts w:hint="eastAsia" w:ascii="Times New Roman" w:hAnsi="Times New Roman"/>
                <w:color w:val="000000"/>
                <w:szCs w:val="21"/>
              </w:rPr>
              <w:t>年成立于德国。贺利氏活跃于健康、电子、工业和环境领域，所涉及的行业包括电子、半导体、电信、照明、化工、制药、钢铁、光伏、汽车产品和医疗设备等。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9" w:hRule="atLeast"/>
        </w:trPr>
        <w:tc>
          <w:tcPr>
            <w:tcW w:w="1809" w:type="dxa"/>
            <w:vMerge w:val="restart"/>
            <w:shd w:val="clear" w:color="auto" w:fill="D9D9D9"/>
            <w:vAlign w:val="center"/>
          </w:tcPr>
          <w:p>
            <w:pPr>
              <w:spacing w:before="156" w:beforeLines="50" w:after="156" w:afterLines="50" w:line="500" w:lineRule="exact"/>
              <w:rPr>
                <w:rFonts w:ascii="Times New Roman" w:hAnsi="Times New Roman"/>
                <w:b/>
                <w:bCs/>
                <w:szCs w:val="21"/>
              </w:rPr>
            </w:pPr>
            <w:r>
              <w:rPr>
                <w:rFonts w:ascii="Times New Roman" w:hAnsi="Times New Roman"/>
                <w:b/>
                <w:bCs/>
                <w:szCs w:val="21"/>
              </w:rPr>
              <w:t>简易案件理由（可以单选，也可以多选）</w:t>
            </w:r>
          </w:p>
        </w:tc>
        <w:tc>
          <w:tcPr>
            <w:tcW w:w="6550" w:type="dxa"/>
            <w:gridSpan w:val="2"/>
            <w:vAlign w:val="center"/>
          </w:tcPr>
          <w:p>
            <w:pPr>
              <w:spacing w:line="500" w:lineRule="exact"/>
              <w:rPr>
                <w:rFonts w:ascii="Times New Roman" w:hAnsi="Times New Roman"/>
                <w:szCs w:val="21"/>
              </w:rPr>
            </w:pPr>
            <w:r>
              <w:rPr>
                <w:rFonts w:ascii="Times" w:hAnsi="Times"/>
              </w:rPr>
              <w:sym w:font="Wingdings" w:char="F0FE"/>
            </w:r>
            <w:r>
              <w:rPr>
                <w:rFonts w:hint="eastAsia" w:ascii="Times" w:hAnsi="Times"/>
              </w:rPr>
              <w:t xml:space="preserve"> </w:t>
            </w:r>
            <w:r>
              <w:rPr>
                <w:rFonts w:ascii="Times New Roman" w:hAnsi="Times New Roman"/>
                <w:szCs w:val="21"/>
              </w:rPr>
              <w:t>1、在同一相关市场，所有参与集中的经营者所占市场份额之和小于15%。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1809" w:type="dxa"/>
            <w:vMerge w:val="continue"/>
            <w:shd w:val="clear" w:color="auto" w:fill="D9D9D9"/>
            <w:vAlign w:val="center"/>
          </w:tcPr>
          <w:p>
            <w:pPr>
              <w:spacing w:before="156" w:beforeLines="50" w:after="156" w:afterLines="50" w:line="500" w:lineRule="exact"/>
              <w:rPr>
                <w:rFonts w:ascii="Times New Roman" w:hAnsi="Times New Roman"/>
                <w:szCs w:val="21"/>
              </w:rPr>
            </w:pPr>
          </w:p>
        </w:tc>
        <w:tc>
          <w:tcPr>
            <w:tcW w:w="6550" w:type="dxa"/>
            <w:gridSpan w:val="2"/>
            <w:vAlign w:val="center"/>
          </w:tcPr>
          <w:p>
            <w:pPr>
              <w:spacing w:line="500" w:lineRule="exact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 w:cs="Arial"/>
                <w:szCs w:val="21"/>
                <w:lang w:val="en-GB"/>
              </w:rPr>
              <w:sym w:font="Wingdings" w:char="F0A8"/>
            </w:r>
            <w:r>
              <w:rPr>
                <w:rFonts w:ascii="Times New Roman" w:hAnsi="Times New Roman" w:cs="Arial"/>
                <w:szCs w:val="21"/>
                <w:lang w:val="en-GB"/>
              </w:rPr>
              <w:t xml:space="preserve"> </w:t>
            </w:r>
            <w:r>
              <w:rPr>
                <w:rFonts w:ascii="Times New Roman" w:hAnsi="Times New Roman"/>
                <w:szCs w:val="21"/>
              </w:rPr>
              <w:t>2、存在上下游关系的参与集中的经营者，在上下游市场所占的市场份额均小于25%。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809" w:type="dxa"/>
            <w:vMerge w:val="continue"/>
            <w:shd w:val="clear" w:color="auto" w:fill="D9D9D9"/>
            <w:vAlign w:val="center"/>
          </w:tcPr>
          <w:p>
            <w:pPr>
              <w:spacing w:before="156" w:beforeLines="50" w:after="156" w:afterLines="50" w:line="500" w:lineRule="exact"/>
              <w:rPr>
                <w:rFonts w:ascii="Times New Roman" w:hAnsi="Times New Roman"/>
                <w:szCs w:val="21"/>
              </w:rPr>
            </w:pPr>
          </w:p>
        </w:tc>
        <w:tc>
          <w:tcPr>
            <w:tcW w:w="6550" w:type="dxa"/>
            <w:gridSpan w:val="2"/>
            <w:vAlign w:val="center"/>
          </w:tcPr>
          <w:p>
            <w:pPr>
              <w:spacing w:line="500" w:lineRule="exact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 w:cs="Arial"/>
                <w:szCs w:val="21"/>
                <w:lang w:val="en-GB"/>
              </w:rPr>
              <w:sym w:font="Wingdings" w:char="F0A8"/>
            </w:r>
            <w:r>
              <w:rPr>
                <w:rFonts w:ascii="Times New Roman" w:hAnsi="Times New Roman"/>
                <w:szCs w:val="21"/>
              </w:rPr>
              <w:t>3、不在同一相关市场、也不存在上下游关系的参与集中的经营者，在与交易有关的每个市场所占的份额均小于25%。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0" w:hRule="atLeast"/>
        </w:trPr>
        <w:tc>
          <w:tcPr>
            <w:tcW w:w="1809" w:type="dxa"/>
            <w:vMerge w:val="continue"/>
            <w:shd w:val="clear" w:color="auto" w:fill="D9D9D9"/>
            <w:vAlign w:val="center"/>
          </w:tcPr>
          <w:p>
            <w:pPr>
              <w:spacing w:before="156" w:beforeLines="50" w:after="156" w:afterLines="50" w:line="500" w:lineRule="exact"/>
              <w:rPr>
                <w:rFonts w:ascii="Times New Roman" w:hAnsi="Times New Roman"/>
                <w:szCs w:val="21"/>
              </w:rPr>
            </w:pPr>
          </w:p>
        </w:tc>
        <w:tc>
          <w:tcPr>
            <w:tcW w:w="6550" w:type="dxa"/>
            <w:gridSpan w:val="2"/>
            <w:vAlign w:val="center"/>
          </w:tcPr>
          <w:p>
            <w:pPr>
              <w:spacing w:line="500" w:lineRule="exact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 w:cs="Arial"/>
                <w:szCs w:val="21"/>
                <w:lang w:val="en-GB"/>
              </w:rPr>
              <w:sym w:font="Wingdings" w:char="F0A8"/>
            </w:r>
            <w:r>
              <w:rPr>
                <w:rFonts w:ascii="Times New Roman" w:hAnsi="Times New Roman"/>
                <w:szCs w:val="21"/>
              </w:rPr>
              <w:t>4、参与集中的经营者在中国境外设立合营企业，合营企业不在中国境内从事经济活动。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4" w:hRule="atLeast"/>
        </w:trPr>
        <w:tc>
          <w:tcPr>
            <w:tcW w:w="1809" w:type="dxa"/>
            <w:vMerge w:val="continue"/>
            <w:shd w:val="clear" w:color="auto" w:fill="D9D9D9"/>
            <w:vAlign w:val="center"/>
          </w:tcPr>
          <w:p>
            <w:pPr>
              <w:spacing w:before="156" w:beforeLines="50" w:after="156" w:afterLines="50" w:line="500" w:lineRule="exact"/>
              <w:rPr>
                <w:rFonts w:ascii="Times New Roman" w:hAnsi="Times New Roman"/>
                <w:szCs w:val="21"/>
              </w:rPr>
            </w:pPr>
          </w:p>
        </w:tc>
        <w:tc>
          <w:tcPr>
            <w:tcW w:w="6550" w:type="dxa"/>
            <w:gridSpan w:val="2"/>
            <w:vAlign w:val="center"/>
          </w:tcPr>
          <w:p>
            <w:pPr>
              <w:spacing w:line="500" w:lineRule="exact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 w:cs="Arial"/>
                <w:szCs w:val="21"/>
                <w:lang w:val="en-GB"/>
              </w:rPr>
              <w:sym w:font="Wingdings" w:char="F0A8"/>
            </w:r>
            <w:r>
              <w:rPr>
                <w:rFonts w:ascii="Times New Roman" w:hAnsi="Times New Roman"/>
                <w:szCs w:val="21"/>
              </w:rPr>
              <w:t>5、参与集中的经营者收购境外企业股权或资产的，该境外企业不在中国境内从事经济活动。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5" w:hRule="atLeast"/>
        </w:trPr>
        <w:tc>
          <w:tcPr>
            <w:tcW w:w="1809" w:type="dxa"/>
            <w:vMerge w:val="continue"/>
            <w:shd w:val="clear" w:color="auto" w:fill="D9D9D9"/>
            <w:vAlign w:val="center"/>
          </w:tcPr>
          <w:p>
            <w:pPr>
              <w:spacing w:before="156" w:beforeLines="50" w:after="156" w:afterLines="50" w:line="500" w:lineRule="exact"/>
              <w:rPr>
                <w:rFonts w:ascii="Times New Roman" w:hAnsi="Times New Roman"/>
                <w:szCs w:val="21"/>
              </w:rPr>
            </w:pPr>
          </w:p>
        </w:tc>
        <w:tc>
          <w:tcPr>
            <w:tcW w:w="6550" w:type="dxa"/>
            <w:gridSpan w:val="2"/>
            <w:vAlign w:val="center"/>
          </w:tcPr>
          <w:p>
            <w:pPr>
              <w:spacing w:line="500" w:lineRule="exact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 w:cs="Arial"/>
                <w:szCs w:val="21"/>
                <w:lang w:val="en-GB"/>
              </w:rPr>
              <w:sym w:font="Wingdings" w:char="F0A8"/>
            </w:r>
            <w:r>
              <w:rPr>
                <w:rFonts w:ascii="Times New Roman" w:hAnsi="Times New Roman"/>
                <w:szCs w:val="21"/>
              </w:rPr>
              <w:t>6、由两个以上的经营者共同控制的合营企业，通过集中被其中一个或一个以上经营者控制。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83" w:hRule="atLeast"/>
        </w:trPr>
        <w:tc>
          <w:tcPr>
            <w:tcW w:w="1809" w:type="dxa"/>
            <w:shd w:val="clear" w:color="auto" w:fill="D9D9D9"/>
            <w:vAlign w:val="center"/>
          </w:tcPr>
          <w:p>
            <w:pPr>
              <w:spacing w:before="156" w:beforeLines="50" w:after="156" w:afterLines="50" w:line="500" w:lineRule="exact"/>
              <w:rPr>
                <w:rFonts w:ascii="Times New Roman" w:hAnsi="Times New Roman"/>
                <w:b/>
                <w:bCs/>
                <w:szCs w:val="21"/>
              </w:rPr>
            </w:pPr>
            <w:r>
              <w:rPr>
                <w:rFonts w:ascii="Times New Roman" w:hAnsi="Times New Roman"/>
                <w:b/>
                <w:bCs/>
                <w:szCs w:val="21"/>
              </w:rPr>
              <w:t>备注</w:t>
            </w:r>
          </w:p>
        </w:tc>
        <w:tc>
          <w:tcPr>
            <w:tcW w:w="6550" w:type="dxa"/>
            <w:gridSpan w:val="2"/>
            <w:vAlign w:val="center"/>
          </w:tcPr>
          <w:p>
            <w:pPr>
              <w:widowControl/>
              <w:snapToGrid w:val="0"/>
              <w:spacing w:before="156" w:beforeLines="50" w:after="156" w:afterLines="50"/>
              <w:rPr>
                <w:rFonts w:ascii="Times New Roman" w:hAnsi="Times New Roman"/>
                <w:b/>
                <w:bCs/>
                <w:szCs w:val="21"/>
                <w:u w:val="single"/>
              </w:rPr>
            </w:pPr>
            <w:r>
              <w:rPr>
                <w:rFonts w:hint="eastAsia" w:ascii="Times New Roman" w:hAnsi="Times New Roman"/>
                <w:b/>
                <w:bCs/>
                <w:szCs w:val="21"/>
                <w:u w:val="single"/>
              </w:rPr>
              <w:t>相关产品市场</w:t>
            </w:r>
            <w:r>
              <w:rPr>
                <w:rFonts w:hint="eastAsia" w:ascii="Times New Roman" w:hAnsi="Times New Roman"/>
                <w:szCs w:val="21"/>
              </w:rPr>
              <w:t>：</w:t>
            </w:r>
          </w:p>
          <w:p>
            <w:pPr>
              <w:widowControl/>
              <w:snapToGrid w:val="0"/>
              <w:spacing w:before="156" w:beforeLines="50" w:after="156" w:afterLines="50"/>
              <w:rPr>
                <w:rFonts w:ascii="Times New Roman" w:hAnsi="Times New Roman"/>
                <w:szCs w:val="21"/>
              </w:rPr>
            </w:pPr>
            <w:r>
              <w:rPr>
                <w:rFonts w:hint="eastAsia" w:ascii="Times New Roman" w:hAnsi="Times New Roman"/>
                <w:szCs w:val="21"/>
              </w:rPr>
              <w:t>铂族金属催化剂回收市场</w:t>
            </w:r>
          </w:p>
          <w:p>
            <w:pPr>
              <w:widowControl/>
              <w:snapToGrid w:val="0"/>
              <w:spacing w:before="156" w:beforeLines="50" w:after="156" w:afterLines="50"/>
              <w:rPr>
                <w:rFonts w:ascii="Times New Roman" w:hAnsi="Times New Roman"/>
                <w:b/>
                <w:bCs/>
                <w:szCs w:val="21"/>
              </w:rPr>
            </w:pPr>
            <w:r>
              <w:rPr>
                <w:rFonts w:hint="eastAsia" w:ascii="Times New Roman" w:hAnsi="Times New Roman"/>
                <w:b/>
                <w:bCs/>
                <w:szCs w:val="21"/>
                <w:u w:val="single"/>
              </w:rPr>
              <w:t>相关地域市场</w:t>
            </w:r>
            <w:r>
              <w:rPr>
                <w:rFonts w:hint="eastAsia" w:ascii="Times New Roman" w:hAnsi="Times New Roman"/>
                <w:b/>
                <w:bCs/>
                <w:szCs w:val="21"/>
              </w:rPr>
              <w:t>：</w:t>
            </w:r>
          </w:p>
          <w:p>
            <w:pPr>
              <w:widowControl/>
              <w:snapToGrid w:val="0"/>
              <w:spacing w:before="156" w:beforeLines="50" w:after="156" w:afterLines="50"/>
              <w:rPr>
                <w:rFonts w:hint="eastAsia" w:ascii="Times New Roman" w:hAnsi="Times New Roman" w:eastAsia="宋体"/>
                <w:szCs w:val="21"/>
                <w:lang w:eastAsia="zh-CN"/>
              </w:rPr>
            </w:pPr>
            <w:r>
              <w:rPr>
                <w:rFonts w:hint="eastAsia" w:ascii="Times New Roman" w:hAnsi="Times New Roman"/>
                <w:szCs w:val="21"/>
              </w:rPr>
              <w:t>中国</w:t>
            </w:r>
            <w:r>
              <w:rPr>
                <w:rFonts w:hint="eastAsia" w:ascii="Times New Roman" w:hAnsi="Times New Roman"/>
                <w:szCs w:val="21"/>
                <w:lang w:eastAsia="zh-CN"/>
              </w:rPr>
              <w:t>境内</w:t>
            </w:r>
          </w:p>
          <w:p>
            <w:pPr>
              <w:widowControl/>
              <w:snapToGrid w:val="0"/>
              <w:spacing w:before="156" w:beforeLines="50" w:after="156" w:afterLines="50"/>
              <w:rPr>
                <w:rFonts w:ascii="Times New Roman" w:hAnsi="Times New Roman"/>
                <w:b/>
                <w:bCs/>
                <w:szCs w:val="21"/>
                <w:u w:val="single"/>
              </w:rPr>
            </w:pPr>
            <w:r>
              <w:rPr>
                <w:rFonts w:hint="eastAsia" w:ascii="Times New Roman" w:hAnsi="Times New Roman"/>
                <w:b/>
                <w:bCs/>
                <w:szCs w:val="21"/>
                <w:u w:val="single"/>
              </w:rPr>
              <w:t>市场份额</w:t>
            </w:r>
            <w:r>
              <w:rPr>
                <w:rFonts w:hint="eastAsia" w:ascii="Times New Roman" w:hAnsi="Times New Roman"/>
                <w:szCs w:val="21"/>
              </w:rPr>
              <w:t>：</w:t>
            </w:r>
          </w:p>
          <w:p>
            <w:pPr>
              <w:pStyle w:val="20"/>
              <w:widowControl/>
              <w:numPr>
                <w:ilvl w:val="0"/>
                <w:numId w:val="1"/>
              </w:numPr>
              <w:snapToGrid w:val="0"/>
              <w:spacing w:before="156" w:beforeLines="50" w:after="156" w:afterLines="50"/>
              <w:ind w:firstLineChars="0"/>
              <w:rPr>
                <w:rFonts w:ascii="Times New Roman" w:hAnsi="Times New Roman"/>
                <w:szCs w:val="21"/>
              </w:rPr>
            </w:pPr>
            <w:bookmarkStart w:id="0" w:name="_GoBack"/>
            <w:bookmarkEnd w:id="0"/>
            <w:r>
              <w:rPr>
                <w:rFonts w:hint="eastAsia" w:ascii="Times New Roman" w:hAnsi="Times New Roman"/>
                <w:szCs w:val="21"/>
              </w:rPr>
              <w:t>巴斯夫：</w:t>
            </w:r>
            <w:r>
              <w:rPr>
                <w:rFonts w:ascii="Times New Roman" w:hAnsi="Times New Roman"/>
                <w:szCs w:val="21"/>
              </w:rPr>
              <w:t>[0-5]%</w:t>
            </w:r>
          </w:p>
          <w:p>
            <w:pPr>
              <w:pStyle w:val="20"/>
              <w:widowControl/>
              <w:numPr>
                <w:ilvl w:val="0"/>
                <w:numId w:val="1"/>
              </w:numPr>
              <w:snapToGrid w:val="0"/>
              <w:spacing w:before="156" w:beforeLines="50" w:after="156" w:afterLines="50"/>
              <w:ind w:firstLineChars="0"/>
              <w:rPr>
                <w:rFonts w:ascii="Times New Roman" w:hAnsi="Times New Roman"/>
                <w:szCs w:val="21"/>
              </w:rPr>
            </w:pPr>
            <w:r>
              <w:rPr>
                <w:rFonts w:hint="eastAsia" w:ascii="Times New Roman" w:hAnsi="Times New Roman"/>
                <w:szCs w:val="21"/>
              </w:rPr>
              <w:t>贺利氏：</w:t>
            </w:r>
            <w:r>
              <w:rPr>
                <w:rFonts w:ascii="Times New Roman" w:hAnsi="Times New Roman"/>
                <w:szCs w:val="21"/>
              </w:rPr>
              <w:t>[0-5]%</w:t>
            </w:r>
          </w:p>
          <w:p>
            <w:pPr>
              <w:pStyle w:val="20"/>
              <w:widowControl/>
              <w:numPr>
                <w:ilvl w:val="0"/>
                <w:numId w:val="1"/>
              </w:numPr>
              <w:snapToGrid w:val="0"/>
              <w:spacing w:before="156" w:beforeLines="50" w:after="156" w:afterLines="50"/>
              <w:ind w:firstLineChars="0"/>
              <w:rPr>
                <w:rFonts w:ascii="Times New Roman" w:hAnsi="Times New Roman"/>
                <w:szCs w:val="21"/>
              </w:rPr>
            </w:pPr>
            <w:r>
              <w:rPr>
                <w:rFonts w:hint="eastAsia" w:ascii="Times New Roman" w:hAnsi="Times New Roman"/>
                <w:szCs w:val="21"/>
              </w:rPr>
              <w:t>交易双方合计：</w:t>
            </w:r>
            <w:r>
              <w:rPr>
                <w:rFonts w:ascii="Times New Roman" w:hAnsi="Times New Roman"/>
                <w:szCs w:val="21"/>
              </w:rPr>
              <w:t>[0-5]%</w:t>
            </w:r>
          </w:p>
          <w:p>
            <w:pPr>
              <w:widowControl/>
              <w:snapToGrid w:val="0"/>
              <w:spacing w:before="156" w:beforeLines="50" w:after="156" w:afterLines="50"/>
              <w:ind w:left="420"/>
              <w:rPr>
                <w:rFonts w:ascii="Times New Roman" w:hAnsi="Times New Roman"/>
                <w:szCs w:val="21"/>
              </w:rPr>
            </w:pPr>
          </w:p>
        </w:tc>
      </w:tr>
    </w:tbl>
    <w:p>
      <w:pPr>
        <w:snapToGrid w:val="0"/>
        <w:spacing w:line="240" w:lineRule="exact"/>
        <w:jc w:val="left"/>
        <w:rPr>
          <w:rFonts w:ascii="Times New Roman" w:hAnsi="Times New Roman"/>
          <w:sz w:val="28"/>
          <w:szCs w:val="28"/>
        </w:rPr>
      </w:pPr>
    </w:p>
    <w:sectPr>
      <w:footerReference r:id="rId3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方正书宋_GBK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altName w:val="Times New Roman"/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altName w:val="DejaVu Sans"/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微软雅黑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PMingLiU">
    <w:altName w:val="Droid Sans Fallback"/>
    <w:panose1 w:val="02010601000101010101"/>
    <w:charset w:val="88"/>
    <w:family w:val="roman"/>
    <w:pitch w:val="default"/>
    <w:sig w:usb0="00000000" w:usb1="00000000" w:usb2="00000016" w:usb3="00000000" w:csb0="00100001" w:csb1="00000000"/>
  </w:font>
  <w:font w:name="Times">
    <w:altName w:val="Times New Roman"/>
    <w:panose1 w:val="02020603050405020304"/>
    <w:charset w:val="00"/>
    <w:family w:val="roman"/>
    <w:pitch w:val="default"/>
    <w:sig w:usb0="00000000" w:usb1="00000000" w:usb2="00000009" w:usb3="00000000" w:csb0="000001FF" w:csb1="00000000"/>
  </w:font>
  <w:font w:name="Arial">
    <w:altName w:val="Times New Roman"/>
    <w:panose1 w:val="020B0604020202020204"/>
    <w:charset w:val="00"/>
    <w:family w:val="swiss"/>
    <w:pitch w:val="default"/>
    <w:sig w:usb0="00000000" w:usb1="00000000" w:usb2="00000009" w:usb3="00000000" w:csb0="000001FF" w:csb1="00000000"/>
  </w:font>
  <w:font w:name="方正书宋_GBK"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微软雅黑">
    <w:panose1 w:val="020B0503020204020204"/>
    <w:charset w:val="86"/>
    <w:family w:val="auto"/>
    <w:pitch w:val="default"/>
    <w:sig w:usb0="80000287" w:usb1="2A0F3C52" w:usb2="00000016" w:usb3="00000000" w:csb0="0004001F" w:csb1="00000000"/>
  </w:font>
  <w:font w:name="DejaVu Sans">
    <w:panose1 w:val="020B0603030804020204"/>
    <w:charset w:val="00"/>
    <w:family w:val="auto"/>
    <w:pitch w:val="default"/>
    <w:sig w:usb0="E7006EFF" w:usb1="D200FDFF" w:usb2="0A246029" w:usb3="0400200C" w:csb0="600001FF" w:csb1="DFFF0000"/>
  </w:font>
  <w:font w:name="Liberation Serif">
    <w:panose1 w:val="02020603050405020304"/>
    <w:charset w:val="00"/>
    <w:family w:val="auto"/>
    <w:pitch w:val="default"/>
    <w:sig w:usb0="A00002AF" w:usb1="500078FB" w:usb2="00000000" w:usb3="00000000" w:csb0="6000009F" w:csb1="DFD70000"/>
  </w:font>
  <w:font w:name="Droid Sans Fallback">
    <w:panose1 w:val="020B0502000000000001"/>
    <w:charset w:val="86"/>
    <w:family w:val="auto"/>
    <w:pitch w:val="default"/>
    <w:sig w:usb0="910002FF" w:usb1="2BDFFCFB" w:usb2="00000036" w:usb3="00000000" w:csb0="203F01FF" w:csb1="D7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889376438"/>
      <w:docPartObj>
        <w:docPartGallery w:val="autotext"/>
      </w:docPartObj>
    </w:sdtPr>
    <w:sdtEndPr>
      <w:rPr>
        <w:rFonts w:ascii="Times New Roman" w:hAnsi="Times New Roman"/>
      </w:rPr>
    </w:sdtEndPr>
    <w:sdtContent>
      <w:sdt>
        <w:sdtPr>
          <w:id w:val="1728636285"/>
          <w:docPartObj>
            <w:docPartGallery w:val="autotext"/>
          </w:docPartObj>
        </w:sdtPr>
        <w:sdtEndPr>
          <w:rPr>
            <w:rFonts w:ascii="Times New Roman" w:hAnsi="Times New Roman"/>
          </w:rPr>
        </w:sdtEndPr>
        <w:sdtContent>
          <w:p>
            <w:pPr>
              <w:pStyle w:val="5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lang w:val="zh-CN"/>
              </w:rPr>
              <w:t xml:space="preserve"> 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fldChar w:fldCharType="begin"/>
            </w:r>
            <w:r>
              <w:rPr>
                <w:rFonts w:ascii="Times New Roman" w:hAnsi="Times New Roman"/>
                <w:b/>
                <w:bCs/>
              </w:rPr>
              <w:instrText xml:space="preserve">PAGE</w:instrText>
            </w: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fldChar w:fldCharType="separate"/>
            </w:r>
            <w:r>
              <w:rPr>
                <w:rFonts w:ascii="Times New Roman" w:hAnsi="Times New Roman"/>
                <w:b/>
                <w:bCs/>
                <w:lang w:val="zh-CN"/>
              </w:rPr>
              <w:t>2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fldChar w:fldCharType="end"/>
            </w:r>
            <w:r>
              <w:rPr>
                <w:rFonts w:ascii="Times New Roman" w:hAnsi="Times New Roman"/>
                <w:lang w:val="zh-CN"/>
              </w:rPr>
              <w:t xml:space="preserve"> / 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fldChar w:fldCharType="begin"/>
            </w:r>
            <w:r>
              <w:rPr>
                <w:rFonts w:ascii="Times New Roman" w:hAnsi="Times New Roman"/>
                <w:b/>
                <w:bCs/>
              </w:rPr>
              <w:instrText xml:space="preserve">NUMPAGES</w:instrText>
            </w: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fldChar w:fldCharType="separate"/>
            </w:r>
            <w:r>
              <w:rPr>
                <w:rFonts w:ascii="Times New Roman" w:hAnsi="Times New Roman"/>
                <w:b/>
                <w:bCs/>
                <w:lang w:val="zh-CN"/>
              </w:rPr>
              <w:t>2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>
    <w:pPr>
      <w:pStyle w:val="5"/>
    </w:pP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0EF5066"/>
    <w:multiLevelType w:val="multilevel"/>
    <w:tmpl w:val="40EF5066"/>
    <w:lvl w:ilvl="0" w:tentative="0">
      <w:start w:val="1"/>
      <w:numFmt w:val="bullet"/>
      <w:lvlText w:val="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10"/>
  <w:removePersonalInformation/>
  <w:bordersDoNotSurroundHeader w:val="true"/>
  <w:bordersDoNotSurroundFooter w:val="true"/>
  <w:hideSpellingErrors/>
  <w:hideGrammaticalErrors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94095"/>
    <w:rsid w:val="00005B69"/>
    <w:rsid w:val="00006080"/>
    <w:rsid w:val="0000630B"/>
    <w:rsid w:val="0002587C"/>
    <w:rsid w:val="00045507"/>
    <w:rsid w:val="0005594E"/>
    <w:rsid w:val="00081D94"/>
    <w:rsid w:val="00082738"/>
    <w:rsid w:val="000839C4"/>
    <w:rsid w:val="00087D30"/>
    <w:rsid w:val="000917F0"/>
    <w:rsid w:val="00094095"/>
    <w:rsid w:val="000A3CA7"/>
    <w:rsid w:val="000A6256"/>
    <w:rsid w:val="000B0EC8"/>
    <w:rsid w:val="000B529C"/>
    <w:rsid w:val="000C5BC7"/>
    <w:rsid w:val="000E7FC9"/>
    <w:rsid w:val="00100B60"/>
    <w:rsid w:val="00113543"/>
    <w:rsid w:val="00117B9E"/>
    <w:rsid w:val="00124B92"/>
    <w:rsid w:val="00137BCF"/>
    <w:rsid w:val="001417D8"/>
    <w:rsid w:val="00165964"/>
    <w:rsid w:val="001708E5"/>
    <w:rsid w:val="0018750E"/>
    <w:rsid w:val="001913F9"/>
    <w:rsid w:val="00192C2C"/>
    <w:rsid w:val="00193065"/>
    <w:rsid w:val="001A17A4"/>
    <w:rsid w:val="001B6149"/>
    <w:rsid w:val="001C1B23"/>
    <w:rsid w:val="001C3C86"/>
    <w:rsid w:val="001E393B"/>
    <w:rsid w:val="001F2782"/>
    <w:rsid w:val="0020313A"/>
    <w:rsid w:val="002128F6"/>
    <w:rsid w:val="002158DC"/>
    <w:rsid w:val="00233AB0"/>
    <w:rsid w:val="00240070"/>
    <w:rsid w:val="00245776"/>
    <w:rsid w:val="00262658"/>
    <w:rsid w:val="00266A6B"/>
    <w:rsid w:val="0029252D"/>
    <w:rsid w:val="002E2C9F"/>
    <w:rsid w:val="002E720A"/>
    <w:rsid w:val="002F2D60"/>
    <w:rsid w:val="00302FE1"/>
    <w:rsid w:val="003048E8"/>
    <w:rsid w:val="003061D7"/>
    <w:rsid w:val="00307976"/>
    <w:rsid w:val="0031093F"/>
    <w:rsid w:val="003145BC"/>
    <w:rsid w:val="00315838"/>
    <w:rsid w:val="00316B15"/>
    <w:rsid w:val="0032355A"/>
    <w:rsid w:val="00356557"/>
    <w:rsid w:val="00356672"/>
    <w:rsid w:val="0037707F"/>
    <w:rsid w:val="003A63B2"/>
    <w:rsid w:val="003C306B"/>
    <w:rsid w:val="003C75D7"/>
    <w:rsid w:val="003D3128"/>
    <w:rsid w:val="003D363F"/>
    <w:rsid w:val="003D60DB"/>
    <w:rsid w:val="003E2431"/>
    <w:rsid w:val="003F170C"/>
    <w:rsid w:val="004030E1"/>
    <w:rsid w:val="00427074"/>
    <w:rsid w:val="00445F6B"/>
    <w:rsid w:val="00462174"/>
    <w:rsid w:val="004B00C8"/>
    <w:rsid w:val="004B3A56"/>
    <w:rsid w:val="004B722A"/>
    <w:rsid w:val="004C2586"/>
    <w:rsid w:val="00507D9C"/>
    <w:rsid w:val="005208CC"/>
    <w:rsid w:val="00557102"/>
    <w:rsid w:val="00563A4C"/>
    <w:rsid w:val="00566CC7"/>
    <w:rsid w:val="00574F2D"/>
    <w:rsid w:val="005A4C0C"/>
    <w:rsid w:val="005B533D"/>
    <w:rsid w:val="005C3D32"/>
    <w:rsid w:val="005D1309"/>
    <w:rsid w:val="005D1B7F"/>
    <w:rsid w:val="005F167B"/>
    <w:rsid w:val="005F5FFA"/>
    <w:rsid w:val="00600243"/>
    <w:rsid w:val="006113D3"/>
    <w:rsid w:val="00616F24"/>
    <w:rsid w:val="006300C0"/>
    <w:rsid w:val="006447F2"/>
    <w:rsid w:val="00644C5B"/>
    <w:rsid w:val="0067330C"/>
    <w:rsid w:val="00675286"/>
    <w:rsid w:val="0068756C"/>
    <w:rsid w:val="00692DA5"/>
    <w:rsid w:val="006A4D58"/>
    <w:rsid w:val="006A4F76"/>
    <w:rsid w:val="006A5728"/>
    <w:rsid w:val="006B49BF"/>
    <w:rsid w:val="006D0734"/>
    <w:rsid w:val="006E4C68"/>
    <w:rsid w:val="00716624"/>
    <w:rsid w:val="00720227"/>
    <w:rsid w:val="00720679"/>
    <w:rsid w:val="007364E2"/>
    <w:rsid w:val="0074694B"/>
    <w:rsid w:val="00784F0F"/>
    <w:rsid w:val="00785C5F"/>
    <w:rsid w:val="007A0249"/>
    <w:rsid w:val="007C000E"/>
    <w:rsid w:val="007C343F"/>
    <w:rsid w:val="007C7803"/>
    <w:rsid w:val="008010AD"/>
    <w:rsid w:val="0080386C"/>
    <w:rsid w:val="008354FF"/>
    <w:rsid w:val="00841F40"/>
    <w:rsid w:val="0084303C"/>
    <w:rsid w:val="008552F5"/>
    <w:rsid w:val="00870CDF"/>
    <w:rsid w:val="008736FC"/>
    <w:rsid w:val="008750C5"/>
    <w:rsid w:val="008764AD"/>
    <w:rsid w:val="00877D76"/>
    <w:rsid w:val="00885D99"/>
    <w:rsid w:val="008868C2"/>
    <w:rsid w:val="008926BD"/>
    <w:rsid w:val="0089745C"/>
    <w:rsid w:val="008A31E9"/>
    <w:rsid w:val="008A7ED7"/>
    <w:rsid w:val="008C10CC"/>
    <w:rsid w:val="008E03AA"/>
    <w:rsid w:val="008E166F"/>
    <w:rsid w:val="008F634B"/>
    <w:rsid w:val="00900557"/>
    <w:rsid w:val="009134D0"/>
    <w:rsid w:val="00921223"/>
    <w:rsid w:val="0093344B"/>
    <w:rsid w:val="00942460"/>
    <w:rsid w:val="0095347A"/>
    <w:rsid w:val="00970232"/>
    <w:rsid w:val="009733B4"/>
    <w:rsid w:val="0097529A"/>
    <w:rsid w:val="00997099"/>
    <w:rsid w:val="009A7BF2"/>
    <w:rsid w:val="009B22D1"/>
    <w:rsid w:val="009B5555"/>
    <w:rsid w:val="009C1D9D"/>
    <w:rsid w:val="009C5ACB"/>
    <w:rsid w:val="009E544B"/>
    <w:rsid w:val="009F7FE9"/>
    <w:rsid w:val="00A36883"/>
    <w:rsid w:val="00A43A3E"/>
    <w:rsid w:val="00A57B8F"/>
    <w:rsid w:val="00A67610"/>
    <w:rsid w:val="00A73519"/>
    <w:rsid w:val="00A73EC0"/>
    <w:rsid w:val="00A758EB"/>
    <w:rsid w:val="00A77BD3"/>
    <w:rsid w:val="00AA1A78"/>
    <w:rsid w:val="00AB1BC4"/>
    <w:rsid w:val="00AC790E"/>
    <w:rsid w:val="00AD646B"/>
    <w:rsid w:val="00AE4C10"/>
    <w:rsid w:val="00AE73A6"/>
    <w:rsid w:val="00B01090"/>
    <w:rsid w:val="00B15FC9"/>
    <w:rsid w:val="00B34D88"/>
    <w:rsid w:val="00B357DC"/>
    <w:rsid w:val="00B60E5E"/>
    <w:rsid w:val="00BA0750"/>
    <w:rsid w:val="00BA16D2"/>
    <w:rsid w:val="00BA4F7F"/>
    <w:rsid w:val="00BA6F07"/>
    <w:rsid w:val="00BA7437"/>
    <w:rsid w:val="00BB2377"/>
    <w:rsid w:val="00BB3798"/>
    <w:rsid w:val="00BB4C43"/>
    <w:rsid w:val="00BC44C2"/>
    <w:rsid w:val="00BC6BEF"/>
    <w:rsid w:val="00BD1E83"/>
    <w:rsid w:val="00BD3D34"/>
    <w:rsid w:val="00BD6EBE"/>
    <w:rsid w:val="00BD71D7"/>
    <w:rsid w:val="00BE148A"/>
    <w:rsid w:val="00BF0D84"/>
    <w:rsid w:val="00BF6C60"/>
    <w:rsid w:val="00BF7F17"/>
    <w:rsid w:val="00C0364B"/>
    <w:rsid w:val="00C068D5"/>
    <w:rsid w:val="00C20325"/>
    <w:rsid w:val="00C318CE"/>
    <w:rsid w:val="00C52346"/>
    <w:rsid w:val="00C573C1"/>
    <w:rsid w:val="00C701CC"/>
    <w:rsid w:val="00C76979"/>
    <w:rsid w:val="00C8184D"/>
    <w:rsid w:val="00C9068E"/>
    <w:rsid w:val="00C97517"/>
    <w:rsid w:val="00CD148B"/>
    <w:rsid w:val="00CD25EE"/>
    <w:rsid w:val="00CD2BEC"/>
    <w:rsid w:val="00D001A9"/>
    <w:rsid w:val="00D21777"/>
    <w:rsid w:val="00D2453A"/>
    <w:rsid w:val="00D370A7"/>
    <w:rsid w:val="00D451A4"/>
    <w:rsid w:val="00D515E7"/>
    <w:rsid w:val="00D73A38"/>
    <w:rsid w:val="00DA3B19"/>
    <w:rsid w:val="00DC70AB"/>
    <w:rsid w:val="00DD222F"/>
    <w:rsid w:val="00DD49E9"/>
    <w:rsid w:val="00DE39D7"/>
    <w:rsid w:val="00DE7DBD"/>
    <w:rsid w:val="00DF4BCE"/>
    <w:rsid w:val="00E11C0D"/>
    <w:rsid w:val="00E132B1"/>
    <w:rsid w:val="00E25016"/>
    <w:rsid w:val="00E32A0C"/>
    <w:rsid w:val="00E32D2E"/>
    <w:rsid w:val="00E34BA1"/>
    <w:rsid w:val="00E54B29"/>
    <w:rsid w:val="00E62581"/>
    <w:rsid w:val="00E64003"/>
    <w:rsid w:val="00E70945"/>
    <w:rsid w:val="00E94F01"/>
    <w:rsid w:val="00EB0EE6"/>
    <w:rsid w:val="00EB6834"/>
    <w:rsid w:val="00EC4B17"/>
    <w:rsid w:val="00EC669A"/>
    <w:rsid w:val="00ED21B1"/>
    <w:rsid w:val="00ED4254"/>
    <w:rsid w:val="00EE2784"/>
    <w:rsid w:val="00EE4AF0"/>
    <w:rsid w:val="00F04C24"/>
    <w:rsid w:val="00F16269"/>
    <w:rsid w:val="00F234B2"/>
    <w:rsid w:val="00F26A0F"/>
    <w:rsid w:val="00F418F4"/>
    <w:rsid w:val="00F41E5F"/>
    <w:rsid w:val="00F42BAC"/>
    <w:rsid w:val="00F5086B"/>
    <w:rsid w:val="00F87C1F"/>
    <w:rsid w:val="00FD4A2C"/>
    <w:rsid w:val="00FE3C66"/>
    <w:rsid w:val="00FE4CAC"/>
    <w:rsid w:val="00FF2D6D"/>
    <w:rsid w:val="384C407F"/>
    <w:rsid w:val="7E8F0F2A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qFormat="1" w:unhideWhenUsed="0" w:uiPriority="99" w:name="footnote text"/>
    <w:lsdException w:qFormat="1"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qFormat="1" w:uiPriority="99" w:name="footnote reference"/>
    <w:lsdException w:qFormat="1" w:uiPriority="0" w:semiHidden="0" w:name="annotation reference"/>
    <w:lsdException w:uiPriority="99" w:name="line number"/>
    <w:lsdException w:uiPriority="99" w:name="page number"/>
    <w:lsdException w:qFormat="1" w:uiPriority="99" w:name="endnote reference"/>
    <w:lsdException w:qFormat="1"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qFormat="1"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annotation text"/>
    <w:basedOn w:val="1"/>
    <w:link w:val="22"/>
    <w:semiHidden/>
    <w:unhideWhenUsed/>
    <w:qFormat/>
    <w:uiPriority w:val="99"/>
    <w:pPr>
      <w:jc w:val="left"/>
    </w:pPr>
  </w:style>
  <w:style w:type="paragraph" w:styleId="3">
    <w:name w:val="endnote text"/>
    <w:basedOn w:val="1"/>
    <w:link w:val="15"/>
    <w:semiHidden/>
    <w:unhideWhenUsed/>
    <w:qFormat/>
    <w:uiPriority w:val="99"/>
    <w:pPr>
      <w:snapToGrid w:val="0"/>
      <w:jc w:val="left"/>
    </w:pPr>
  </w:style>
  <w:style w:type="paragraph" w:styleId="4">
    <w:name w:val="Balloon Text"/>
    <w:basedOn w:val="1"/>
    <w:link w:val="18"/>
    <w:semiHidden/>
    <w:unhideWhenUsed/>
    <w:qFormat/>
    <w:uiPriority w:val="99"/>
    <w:rPr>
      <w:sz w:val="18"/>
      <w:szCs w:val="18"/>
    </w:rPr>
  </w:style>
  <w:style w:type="paragraph" w:styleId="5">
    <w:name w:val="footer"/>
    <w:basedOn w:val="1"/>
    <w:link w:val="17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6">
    <w:name w:val="header"/>
    <w:basedOn w:val="1"/>
    <w:link w:val="16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7">
    <w:name w:val="footnote text"/>
    <w:basedOn w:val="1"/>
    <w:link w:val="21"/>
    <w:semiHidden/>
    <w:qFormat/>
    <w:uiPriority w:val="99"/>
    <w:pPr>
      <w:snapToGrid w:val="0"/>
      <w:jc w:val="left"/>
    </w:pPr>
    <w:rPr>
      <w:rFonts w:ascii="Times New Roman" w:hAnsi="Times New Roman" w:eastAsia="PMingLiU"/>
      <w:sz w:val="20"/>
      <w:szCs w:val="20"/>
      <w:lang w:eastAsia="zh-TW"/>
    </w:rPr>
  </w:style>
  <w:style w:type="paragraph" w:styleId="8">
    <w:name w:val="annotation subject"/>
    <w:basedOn w:val="2"/>
    <w:next w:val="2"/>
    <w:link w:val="23"/>
    <w:semiHidden/>
    <w:unhideWhenUsed/>
    <w:qFormat/>
    <w:uiPriority w:val="99"/>
    <w:rPr>
      <w:b/>
      <w:bCs/>
    </w:rPr>
  </w:style>
  <w:style w:type="table" w:styleId="10">
    <w:name w:val="Table Grid"/>
    <w:basedOn w:val="9"/>
    <w:qFormat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2">
    <w:name w:val="endnote reference"/>
    <w:semiHidden/>
    <w:unhideWhenUsed/>
    <w:qFormat/>
    <w:uiPriority w:val="99"/>
    <w:rPr>
      <w:vertAlign w:val="superscript"/>
    </w:rPr>
  </w:style>
  <w:style w:type="character" w:styleId="13">
    <w:name w:val="annotation reference"/>
    <w:basedOn w:val="11"/>
    <w:unhideWhenUsed/>
    <w:qFormat/>
    <w:uiPriority w:val="0"/>
    <w:rPr>
      <w:sz w:val="21"/>
      <w:szCs w:val="21"/>
    </w:rPr>
  </w:style>
  <w:style w:type="character" w:styleId="14">
    <w:name w:val="footnote reference"/>
    <w:semiHidden/>
    <w:unhideWhenUsed/>
    <w:qFormat/>
    <w:uiPriority w:val="99"/>
    <w:rPr>
      <w:vertAlign w:val="superscript"/>
    </w:rPr>
  </w:style>
  <w:style w:type="character" w:customStyle="1" w:styleId="15">
    <w:name w:val="尾注文本 字符"/>
    <w:basedOn w:val="11"/>
    <w:link w:val="3"/>
    <w:semiHidden/>
    <w:qFormat/>
    <w:uiPriority w:val="99"/>
  </w:style>
  <w:style w:type="character" w:customStyle="1" w:styleId="16">
    <w:name w:val="页眉 字符"/>
    <w:link w:val="6"/>
    <w:qFormat/>
    <w:uiPriority w:val="99"/>
    <w:rPr>
      <w:sz w:val="18"/>
      <w:szCs w:val="18"/>
    </w:rPr>
  </w:style>
  <w:style w:type="character" w:customStyle="1" w:styleId="17">
    <w:name w:val="页脚 字符"/>
    <w:link w:val="5"/>
    <w:qFormat/>
    <w:uiPriority w:val="99"/>
    <w:rPr>
      <w:sz w:val="18"/>
      <w:szCs w:val="18"/>
    </w:rPr>
  </w:style>
  <w:style w:type="character" w:customStyle="1" w:styleId="18">
    <w:name w:val="批注框文本 字符"/>
    <w:link w:val="4"/>
    <w:semiHidden/>
    <w:qFormat/>
    <w:uiPriority w:val="99"/>
    <w:rPr>
      <w:kern w:val="2"/>
      <w:sz w:val="18"/>
      <w:szCs w:val="18"/>
    </w:rPr>
  </w:style>
  <w:style w:type="paragraph" w:customStyle="1" w:styleId="19">
    <w:name w:val="列出段落1"/>
    <w:basedOn w:val="1"/>
    <w:qFormat/>
    <w:uiPriority w:val="34"/>
    <w:pPr>
      <w:ind w:firstLine="420" w:firstLineChars="200"/>
    </w:pPr>
  </w:style>
  <w:style w:type="paragraph" w:styleId="20">
    <w:name w:val="List Paragraph"/>
    <w:basedOn w:val="1"/>
    <w:qFormat/>
    <w:uiPriority w:val="34"/>
    <w:pPr>
      <w:ind w:firstLine="420" w:firstLineChars="200"/>
    </w:pPr>
  </w:style>
  <w:style w:type="character" w:customStyle="1" w:styleId="21">
    <w:name w:val="脚注文本 字符"/>
    <w:link w:val="7"/>
    <w:semiHidden/>
    <w:qFormat/>
    <w:uiPriority w:val="99"/>
    <w:rPr>
      <w:rFonts w:ascii="Times New Roman" w:hAnsi="Times New Roman" w:eastAsia="PMingLiU"/>
      <w:kern w:val="2"/>
      <w:lang w:eastAsia="zh-TW"/>
    </w:rPr>
  </w:style>
  <w:style w:type="character" w:customStyle="1" w:styleId="22">
    <w:name w:val="批注文字 字符"/>
    <w:basedOn w:val="11"/>
    <w:link w:val="2"/>
    <w:semiHidden/>
    <w:qFormat/>
    <w:uiPriority w:val="99"/>
    <w:rPr>
      <w:kern w:val="2"/>
      <w:sz w:val="21"/>
      <w:szCs w:val="22"/>
    </w:rPr>
  </w:style>
  <w:style w:type="character" w:customStyle="1" w:styleId="23">
    <w:name w:val="批注主题 字符"/>
    <w:basedOn w:val="22"/>
    <w:link w:val="8"/>
    <w:semiHidden/>
    <w:qFormat/>
    <w:uiPriority w:val="99"/>
    <w:rPr>
      <w:b/>
      <w:bCs/>
      <w:kern w:val="2"/>
      <w:sz w:val="21"/>
      <w:szCs w:val="22"/>
    </w:rPr>
  </w:style>
  <w:style w:type="paragraph" w:customStyle="1" w:styleId="24">
    <w:name w:val="Revision"/>
    <w:hidden/>
    <w:semiHidden/>
    <w:qFormat/>
    <w:uiPriority w:val="99"/>
    <w:rPr>
      <w:rFonts w:ascii="Calibri" w:hAnsi="Calibri" w:eastAsia="宋体" w:cs="Times New Roman"/>
      <w:kern w:val="2"/>
      <w:sz w:val="21"/>
      <w:szCs w:val="22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112</Words>
  <Characters>639</Characters>
  <Lines>5</Lines>
  <Paragraphs>1</Paragraphs>
  <TotalTime>9</TotalTime>
  <ScaleCrop>false</ScaleCrop>
  <LinksUpToDate>false</LinksUpToDate>
  <CharactersWithSpaces>750</CharactersWithSpaces>
  <Application>WPS Office_11.8.2.9695_F1E327BC-269C-435d-A152-05C5408002CA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2022-02-16T16:26:00Z</dcterms:created>
  <dcterms:modified xsi:type="dcterms:W3CDTF">2022-03-21T16:41:20Z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2052-11.8.2.9695</vt:lpwstr>
  </property>
</Properties>
</file>