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40" w:lineRule="exact"/>
        <w:jc w:val="center"/>
        <w:rPr>
          <w:rFonts w:hint="eastAsia" w:ascii="黑体" w:hAnsi="Times New Roman" w:eastAsia="黑体"/>
          <w:sz w:val="30"/>
          <w:szCs w:val="30"/>
        </w:rPr>
      </w:pPr>
    </w:p>
    <w:p>
      <w:pPr>
        <w:spacing w:line="440" w:lineRule="exact"/>
        <w:jc w:val="center"/>
        <w:rPr>
          <w:rFonts w:ascii="黑体" w:hAnsi="Times New Roman" w:eastAsia="黑体"/>
          <w:sz w:val="30"/>
          <w:szCs w:val="30"/>
        </w:rPr>
      </w:pPr>
      <w:r>
        <w:rPr>
          <w:rFonts w:hint="eastAsia" w:ascii="黑体" w:hAnsi="Times New Roman" w:eastAsia="黑体"/>
          <w:sz w:val="30"/>
          <w:szCs w:val="30"/>
        </w:rPr>
        <w:t>经营者集中简易案件公示表</w:t>
      </w:r>
    </w:p>
    <w:p>
      <w:pPr>
        <w:spacing w:line="440" w:lineRule="exact"/>
        <w:rPr>
          <w:rFonts w:ascii="黑体" w:hAnsi="Times New Roman" w:eastAsia="黑体"/>
          <w:sz w:val="28"/>
          <w:szCs w:val="28"/>
        </w:rPr>
      </w:pPr>
    </w:p>
    <w:p>
      <w:pPr>
        <w:spacing w:line="440" w:lineRule="exact"/>
        <w:ind w:firstLine="845" w:firstLineChars="302"/>
        <w:rPr>
          <w:rFonts w:ascii="仿宋_GB2312" w:hAnsi="Times New Roman" w:eastAsia="仿宋_GB2312"/>
          <w:sz w:val="28"/>
          <w:szCs w:val="28"/>
        </w:rPr>
      </w:pPr>
    </w:p>
    <w:tbl>
      <w:tblPr>
        <w:tblStyle w:val="2"/>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9"/>
        <w:gridCol w:w="1796"/>
        <w:gridCol w:w="51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09" w:type="dxa"/>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案件名称</w:t>
            </w:r>
          </w:p>
        </w:tc>
        <w:tc>
          <w:tcPr>
            <w:tcW w:w="6949" w:type="dxa"/>
            <w:gridSpan w:val="2"/>
          </w:tcPr>
          <w:p>
            <w:pPr>
              <w:spacing w:line="500" w:lineRule="exact"/>
              <w:rPr>
                <w:rFonts w:hint="eastAsia" w:ascii="仿宋" w:hAnsi="仿宋" w:eastAsia="仿宋" w:cs="宋体"/>
                <w:color w:val="333333"/>
                <w:kern w:val="0"/>
                <w:sz w:val="24"/>
                <w:szCs w:val="24"/>
              </w:rPr>
            </w:pPr>
            <w:r>
              <w:rPr>
                <w:rFonts w:hint="eastAsia" w:ascii="仿宋" w:hAnsi="仿宋" w:eastAsia="仿宋" w:cs="宋体"/>
                <w:color w:val="333333"/>
                <w:kern w:val="0"/>
                <w:sz w:val="24"/>
                <w:szCs w:val="24"/>
                <w:lang w:val="en-US" w:eastAsia="zh-CN"/>
              </w:rPr>
              <w:t>广州商贸投资控股集团有限公司收购</w:t>
            </w:r>
            <w:r>
              <w:rPr>
                <w:rFonts w:hint="eastAsia" w:ascii="仿宋" w:hAnsi="仿宋" w:eastAsia="仿宋" w:cs="宋体"/>
                <w:color w:val="333333"/>
                <w:kern w:val="0"/>
                <w:sz w:val="24"/>
                <w:szCs w:val="24"/>
                <w:lang w:eastAsia="zh-CN"/>
              </w:rPr>
              <w:t>广州岭南国际企业集团有限公司</w:t>
            </w:r>
            <w:r>
              <w:rPr>
                <w:rFonts w:hint="eastAsia" w:ascii="仿宋" w:hAnsi="仿宋" w:eastAsia="仿宋" w:cs="宋体"/>
                <w:color w:val="333333"/>
                <w:kern w:val="0"/>
                <w:sz w:val="24"/>
                <w:szCs w:val="24"/>
                <w:lang w:val="en-US" w:eastAsia="zh-CN"/>
              </w:rPr>
              <w:t>股权案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93" w:hRule="atLeast"/>
        </w:trPr>
        <w:tc>
          <w:tcPr>
            <w:tcW w:w="1809" w:type="dxa"/>
            <w:shd w:val="clear" w:color="auto" w:fill="D9D9D9"/>
            <w:vAlign w:val="center"/>
          </w:tcPr>
          <w:p>
            <w:pPr>
              <w:spacing w:line="500" w:lineRule="exact"/>
              <w:jc w:val="center"/>
              <w:rPr>
                <w:rFonts w:hint="eastAsia" w:ascii="仿宋" w:hAnsi="仿宋" w:eastAsia="仿宋" w:cs="宋体"/>
                <w:color w:val="333333"/>
                <w:kern w:val="0"/>
                <w:sz w:val="24"/>
                <w:szCs w:val="24"/>
              </w:rPr>
            </w:pPr>
            <w:r>
              <w:rPr>
                <w:rFonts w:hint="eastAsia" w:ascii="仿宋" w:hAnsi="仿宋" w:eastAsia="仿宋" w:cs="宋体"/>
                <w:color w:val="333333"/>
                <w:kern w:val="0"/>
                <w:sz w:val="24"/>
                <w:szCs w:val="24"/>
              </w:rPr>
              <w:t>交易概况</w:t>
            </w:r>
          </w:p>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（限200字内）</w:t>
            </w:r>
          </w:p>
        </w:tc>
        <w:tc>
          <w:tcPr>
            <w:tcW w:w="6949" w:type="dxa"/>
            <w:gridSpan w:val="2"/>
          </w:tcPr>
          <w:p>
            <w:pPr>
              <w:spacing w:line="500" w:lineRule="exact"/>
              <w:rPr>
                <w:rFonts w:hint="eastAsia" w:ascii="仿宋" w:hAnsi="仿宋" w:eastAsia="仿宋" w:cs="宋体"/>
                <w:color w:val="333333"/>
                <w:kern w:val="0"/>
                <w:sz w:val="24"/>
                <w:szCs w:val="24"/>
              </w:rPr>
            </w:pPr>
            <w:r>
              <w:rPr>
                <w:rFonts w:hint="eastAsia" w:ascii="仿宋" w:hAnsi="仿宋" w:eastAsia="仿宋" w:cs="宋体"/>
                <w:color w:val="333333"/>
                <w:kern w:val="0"/>
                <w:sz w:val="24"/>
                <w:szCs w:val="24"/>
                <w:lang w:val="en-US" w:eastAsia="zh-CN"/>
              </w:rPr>
              <w:t>根据</w:t>
            </w:r>
            <w:r>
              <w:rPr>
                <w:rFonts w:hint="eastAsia" w:ascii="仿宋" w:hAnsi="仿宋" w:eastAsia="仿宋" w:cs="宋体"/>
                <w:color w:val="333333"/>
                <w:kern w:val="0"/>
                <w:sz w:val="24"/>
                <w:szCs w:val="24"/>
              </w:rPr>
              <w:t>广州市人民政府国有资产监督管理委员</w:t>
            </w:r>
            <w:r>
              <w:rPr>
                <w:rFonts w:hint="eastAsia" w:ascii="仿宋" w:hAnsi="仿宋" w:eastAsia="仿宋" w:cs="宋体"/>
                <w:color w:val="333333"/>
                <w:kern w:val="0"/>
                <w:sz w:val="24"/>
                <w:szCs w:val="24"/>
                <w:lang w:eastAsia="zh-CN"/>
              </w:rPr>
              <w:t>会相关</w:t>
            </w:r>
            <w:r>
              <w:rPr>
                <w:rFonts w:hint="eastAsia" w:ascii="仿宋" w:hAnsi="仿宋" w:eastAsia="仿宋" w:cs="宋体"/>
                <w:color w:val="333333"/>
                <w:kern w:val="0"/>
                <w:sz w:val="24"/>
                <w:szCs w:val="24"/>
                <w:lang w:val="en-US" w:eastAsia="zh-CN"/>
              </w:rPr>
              <w:t>通知，将广州市人民政府持有的</w:t>
            </w:r>
            <w:r>
              <w:rPr>
                <w:rFonts w:hint="eastAsia" w:ascii="仿宋" w:hAnsi="仿宋" w:eastAsia="仿宋" w:cs="宋体"/>
                <w:color w:val="333333"/>
                <w:kern w:val="0"/>
                <w:sz w:val="24"/>
                <w:szCs w:val="24"/>
                <w:lang w:eastAsia="zh-CN"/>
              </w:rPr>
              <w:t>广州岭南国际企业集团有限公司</w:t>
            </w:r>
            <w:r>
              <w:rPr>
                <w:rFonts w:hint="eastAsia" w:ascii="仿宋" w:hAnsi="仿宋" w:eastAsia="仿宋" w:cs="宋体"/>
                <w:color w:val="333333"/>
                <w:kern w:val="0"/>
                <w:sz w:val="24"/>
                <w:szCs w:val="24"/>
                <w:lang w:val="en-US" w:eastAsia="zh-CN"/>
              </w:rPr>
              <w:t>90%国有产权无偿划转至广州商贸投资控股集团有限公司。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68" w:hRule="atLeast"/>
        </w:trPr>
        <w:tc>
          <w:tcPr>
            <w:tcW w:w="1809" w:type="dxa"/>
            <w:vMerge w:val="restart"/>
            <w:shd w:val="clear" w:color="auto" w:fill="D9D9D9"/>
            <w:vAlign w:val="center"/>
          </w:tcPr>
          <w:p>
            <w:pPr>
              <w:spacing w:line="500" w:lineRule="exact"/>
              <w:jc w:val="center"/>
              <w:rPr>
                <w:rFonts w:hint="eastAsia" w:ascii="仿宋" w:hAnsi="仿宋" w:eastAsia="仿宋" w:cs="宋体"/>
                <w:color w:val="333333"/>
                <w:kern w:val="0"/>
                <w:sz w:val="24"/>
                <w:szCs w:val="24"/>
              </w:rPr>
            </w:pPr>
            <w:r>
              <w:rPr>
                <w:rFonts w:hint="eastAsia" w:ascii="仿宋" w:hAnsi="仿宋" w:eastAsia="仿宋" w:cs="宋体"/>
                <w:color w:val="333333"/>
                <w:kern w:val="0"/>
                <w:sz w:val="24"/>
                <w:szCs w:val="24"/>
              </w:rPr>
              <w:t>参与集中的</w:t>
            </w:r>
          </w:p>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经营者简介</w:t>
            </w:r>
          </w:p>
        </w:tc>
        <w:tc>
          <w:tcPr>
            <w:tcW w:w="1796" w:type="dxa"/>
          </w:tcPr>
          <w:p>
            <w:pPr>
              <w:spacing w:line="500" w:lineRule="exact"/>
              <w:rPr>
                <w:rFonts w:hint="eastAsia" w:ascii="仿宋" w:hAnsi="仿宋" w:eastAsia="仿宋" w:cs="宋体"/>
                <w:color w:val="333333"/>
                <w:kern w:val="0"/>
                <w:sz w:val="24"/>
                <w:szCs w:val="24"/>
                <w:lang w:val="en-US" w:eastAsia="zh-CN"/>
              </w:rPr>
            </w:pPr>
            <w:r>
              <w:rPr>
                <w:rFonts w:hint="eastAsia" w:ascii="仿宋" w:hAnsi="仿宋" w:eastAsia="仿宋" w:cs="宋体"/>
                <w:color w:val="333333"/>
                <w:kern w:val="0"/>
                <w:sz w:val="24"/>
                <w:szCs w:val="24"/>
                <w:lang w:val="en-US" w:eastAsia="zh-CN"/>
              </w:rPr>
              <w:t>1、广州商贸投资控股集团有限公司</w:t>
            </w:r>
          </w:p>
        </w:tc>
        <w:tc>
          <w:tcPr>
            <w:tcW w:w="5153" w:type="dxa"/>
          </w:tcPr>
          <w:p>
            <w:pPr>
              <w:spacing w:line="500" w:lineRule="exact"/>
              <w:rPr>
                <w:rFonts w:hint="eastAsia" w:ascii="仿宋" w:hAnsi="仿宋" w:eastAsia="仿宋" w:cs="宋体"/>
                <w:color w:val="333333"/>
                <w:kern w:val="0"/>
                <w:sz w:val="24"/>
                <w:szCs w:val="24"/>
              </w:rPr>
            </w:pPr>
            <w:r>
              <w:rPr>
                <w:rFonts w:hint="eastAsia" w:ascii="仿宋" w:hAnsi="仿宋" w:eastAsia="仿宋" w:cs="宋体"/>
                <w:color w:val="333333"/>
                <w:kern w:val="0"/>
                <w:sz w:val="24"/>
                <w:szCs w:val="24"/>
                <w:lang w:eastAsia="zh-CN"/>
              </w:rPr>
              <w:t>广州商贸投资控股集团有限公司定位为市属唯一的商贸流通资产整合主体、资本投资运营管理平台。形成以零售业为主体，物流业和展贸业为两翼，以产业投资为连接点的业务体系，发展愿景是围绕大商贸、大消费致力成为“城市美好生活服务商”。广州商贸投资控股集团有限公司位列2020中国服务业企业500强第305位，2019年度中国零售百强企业第24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04"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1796" w:type="dxa"/>
          </w:tcPr>
          <w:p>
            <w:pPr>
              <w:spacing w:line="500" w:lineRule="exact"/>
              <w:rPr>
                <w:rFonts w:hint="eastAsia" w:ascii="仿宋" w:hAnsi="仿宋" w:eastAsia="仿宋" w:cs="宋体"/>
                <w:color w:val="333333"/>
                <w:kern w:val="0"/>
                <w:sz w:val="24"/>
                <w:szCs w:val="24"/>
                <w:lang w:val="en-US" w:eastAsia="zh-CN"/>
              </w:rPr>
            </w:pPr>
            <w:r>
              <w:rPr>
                <w:rFonts w:hint="eastAsia" w:ascii="仿宋" w:hAnsi="仿宋" w:eastAsia="仿宋" w:cs="宋体"/>
                <w:color w:val="333333"/>
                <w:kern w:val="0"/>
                <w:sz w:val="24"/>
                <w:szCs w:val="24"/>
                <w:lang w:val="en-US" w:eastAsia="zh-CN"/>
              </w:rPr>
              <w:t>2、</w:t>
            </w:r>
            <w:r>
              <w:rPr>
                <w:rFonts w:hint="eastAsia" w:ascii="仿宋" w:hAnsi="仿宋" w:eastAsia="仿宋" w:cs="宋体"/>
                <w:color w:val="333333"/>
                <w:kern w:val="0"/>
                <w:sz w:val="24"/>
                <w:szCs w:val="24"/>
                <w:lang w:eastAsia="zh-CN"/>
              </w:rPr>
              <w:t>广州岭南国际企业集团有限公司</w:t>
            </w:r>
          </w:p>
        </w:tc>
        <w:tc>
          <w:tcPr>
            <w:tcW w:w="5153" w:type="dxa"/>
          </w:tcPr>
          <w:p>
            <w:pPr>
              <w:spacing w:line="500" w:lineRule="exact"/>
              <w:rPr>
                <w:rFonts w:hint="eastAsia" w:ascii="仿宋" w:hAnsi="仿宋" w:eastAsia="仿宋" w:cs="宋体"/>
                <w:color w:val="333333"/>
                <w:kern w:val="0"/>
                <w:sz w:val="24"/>
                <w:szCs w:val="24"/>
                <w:lang w:eastAsia="zh-CN"/>
              </w:rPr>
            </w:pPr>
            <w:r>
              <w:rPr>
                <w:rFonts w:hint="eastAsia" w:ascii="仿宋" w:hAnsi="仿宋" w:eastAsia="仿宋" w:cs="宋体"/>
                <w:color w:val="333333"/>
                <w:kern w:val="0"/>
                <w:sz w:val="24"/>
                <w:szCs w:val="24"/>
                <w:lang w:eastAsia="zh-CN"/>
              </w:rPr>
              <w:t>广州岭南国际企业集团有限公司以旅游、酒店和粮食加工、贸易为主业，位列中国服务业企业500强第296位，中国旅游集团20强、中国饭店集团50强。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79" w:hRule="atLeast"/>
        </w:trPr>
        <w:tc>
          <w:tcPr>
            <w:tcW w:w="1809" w:type="dxa"/>
            <w:vMerge w:val="restart"/>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简易案件理由（可以单选，也可以多选）</w:t>
            </w: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sym w:font="Wingdings 2" w:char="0052"/>
            </w:r>
            <w:r>
              <w:rPr>
                <w:rFonts w:hint="eastAsia" w:ascii="仿宋" w:hAnsi="仿宋" w:eastAsia="仿宋" w:cs="宋体"/>
                <w:color w:val="333333"/>
                <w:kern w:val="0"/>
                <w:sz w:val="24"/>
                <w:szCs w:val="24"/>
              </w:rPr>
              <w:t>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30"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5"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sym w:font="Wingdings 2" w:char="00A3"/>
            </w:r>
            <w:r>
              <w:rPr>
                <w:rFonts w:hint="eastAsia" w:ascii="仿宋" w:hAnsi="仿宋" w:eastAsia="仿宋" w:cs="宋体"/>
                <w:color w:val="333333"/>
                <w:kern w:val="0"/>
                <w:sz w:val="24"/>
                <w:szCs w:val="24"/>
              </w:rPr>
              <w:t>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870"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64"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45"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09" w:type="dxa"/>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备注</w:t>
            </w:r>
            <w:bookmarkStart w:id="0" w:name="_GoBack"/>
            <w:bookmarkEnd w:id="0"/>
          </w:p>
        </w:tc>
        <w:tc>
          <w:tcPr>
            <w:tcW w:w="6949" w:type="dxa"/>
            <w:gridSpan w:val="2"/>
          </w:tcPr>
          <w:p>
            <w:pPr>
              <w:spacing w:line="500" w:lineRule="exact"/>
              <w:rPr>
                <w:rFonts w:hint="eastAsia" w:ascii="仿宋" w:hAnsi="仿宋" w:eastAsia="仿宋" w:cs="宋体"/>
                <w:color w:val="333333"/>
                <w:kern w:val="0"/>
                <w:sz w:val="24"/>
                <w:szCs w:val="24"/>
                <w:lang w:eastAsia="zh-CN"/>
              </w:rPr>
            </w:pPr>
            <w:r>
              <w:rPr>
                <w:rFonts w:hint="eastAsia" w:ascii="仿宋" w:hAnsi="仿宋" w:eastAsia="仿宋" w:cs="宋体"/>
                <w:color w:val="333333"/>
                <w:kern w:val="0"/>
                <w:sz w:val="24"/>
                <w:szCs w:val="24"/>
              </w:rPr>
              <w:t>相关商品市场</w:t>
            </w:r>
            <w:r>
              <w:rPr>
                <w:rFonts w:hint="eastAsia" w:ascii="仿宋" w:hAnsi="仿宋" w:eastAsia="仿宋" w:cs="宋体"/>
                <w:color w:val="333333"/>
                <w:kern w:val="0"/>
                <w:sz w:val="24"/>
                <w:szCs w:val="24"/>
                <w:lang w:eastAsia="zh-CN"/>
              </w:rPr>
              <w:t>：三星级</w:t>
            </w:r>
            <w:r>
              <w:rPr>
                <w:rFonts w:hint="eastAsia" w:ascii="仿宋" w:hAnsi="仿宋" w:eastAsia="仿宋" w:cs="宋体"/>
                <w:color w:val="333333"/>
                <w:kern w:val="0"/>
                <w:sz w:val="24"/>
                <w:szCs w:val="24"/>
                <w:lang w:val="en-US" w:eastAsia="zh-CN"/>
              </w:rPr>
              <w:t>/舒适型</w:t>
            </w:r>
            <w:r>
              <w:rPr>
                <w:rFonts w:hint="eastAsia" w:ascii="仿宋" w:hAnsi="仿宋" w:eastAsia="仿宋" w:cs="宋体"/>
                <w:color w:val="333333"/>
                <w:kern w:val="0"/>
                <w:sz w:val="24"/>
                <w:szCs w:val="24"/>
                <w:lang w:eastAsia="zh-CN"/>
              </w:rPr>
              <w:t>酒店服务</w:t>
            </w:r>
          </w:p>
          <w:p>
            <w:pPr>
              <w:spacing w:line="500" w:lineRule="exact"/>
              <w:rPr>
                <w:rFonts w:hint="eastAsia" w:ascii="仿宋" w:hAnsi="仿宋" w:eastAsia="仿宋" w:cs="宋体"/>
                <w:color w:val="333333"/>
                <w:kern w:val="0"/>
                <w:sz w:val="24"/>
                <w:szCs w:val="24"/>
                <w:lang w:eastAsia="zh-CN"/>
              </w:rPr>
            </w:pPr>
            <w:r>
              <w:rPr>
                <w:rFonts w:hint="eastAsia" w:ascii="仿宋" w:hAnsi="仿宋" w:eastAsia="仿宋" w:cs="宋体"/>
                <w:color w:val="333333"/>
                <w:kern w:val="0"/>
                <w:sz w:val="24"/>
                <w:szCs w:val="24"/>
              </w:rPr>
              <w:t>相关地域市场</w:t>
            </w:r>
            <w:r>
              <w:rPr>
                <w:rFonts w:hint="eastAsia" w:ascii="仿宋" w:hAnsi="仿宋" w:eastAsia="仿宋" w:cs="宋体"/>
                <w:color w:val="333333"/>
                <w:kern w:val="0"/>
                <w:sz w:val="24"/>
                <w:szCs w:val="24"/>
                <w:lang w:eastAsia="zh-CN"/>
              </w:rPr>
              <w:t>：广州市</w:t>
            </w:r>
          </w:p>
          <w:p>
            <w:pPr>
              <w:spacing w:line="500" w:lineRule="exact"/>
              <w:rPr>
                <w:rFonts w:hint="default" w:ascii="仿宋" w:hAnsi="仿宋" w:eastAsia="方正仿宋_GBK" w:cs="宋体"/>
                <w:color w:val="333333"/>
                <w:kern w:val="0"/>
                <w:sz w:val="24"/>
                <w:szCs w:val="24"/>
                <w:lang w:val="en-US" w:eastAsia="zh-CN"/>
              </w:rPr>
            </w:pPr>
            <w:r>
              <w:rPr>
                <w:rFonts w:hint="eastAsia" w:ascii="仿宋" w:hAnsi="仿宋" w:eastAsia="仿宋" w:cs="宋体"/>
                <w:color w:val="333333"/>
                <w:kern w:val="0"/>
                <w:sz w:val="24"/>
                <w:szCs w:val="24"/>
              </w:rPr>
              <w:t>相关市场份额</w:t>
            </w:r>
            <w:r>
              <w:rPr>
                <w:rFonts w:hint="eastAsia" w:ascii="仿宋" w:hAnsi="仿宋" w:eastAsia="仿宋" w:cs="宋体"/>
                <w:color w:val="333333"/>
                <w:kern w:val="0"/>
                <w:sz w:val="24"/>
                <w:szCs w:val="24"/>
                <w:lang w:eastAsia="zh-CN"/>
              </w:rPr>
              <w:t>：</w:t>
            </w:r>
            <w:r>
              <w:rPr>
                <w:rFonts w:hint="eastAsia" w:ascii="仿宋" w:hAnsi="仿宋" w:eastAsia="仿宋" w:cs="宋体"/>
                <w:color w:val="333333"/>
                <w:kern w:val="0"/>
                <w:sz w:val="24"/>
                <w:szCs w:val="24"/>
                <w:lang w:val="en-US" w:eastAsia="zh-CN"/>
              </w:rPr>
              <w:t>广州商贸投资控股集团有限公司0%-5%，</w:t>
            </w:r>
            <w:r>
              <w:rPr>
                <w:rFonts w:hint="eastAsia" w:ascii="仿宋" w:hAnsi="仿宋" w:eastAsia="仿宋" w:cs="宋体"/>
                <w:color w:val="333333"/>
                <w:kern w:val="0"/>
                <w:sz w:val="24"/>
                <w:szCs w:val="24"/>
                <w:lang w:eastAsia="zh-CN"/>
              </w:rPr>
              <w:t>广州岭南国际企业集团有限公司</w:t>
            </w:r>
            <w:r>
              <w:rPr>
                <w:rFonts w:hint="eastAsia" w:ascii="仿宋" w:hAnsi="仿宋" w:eastAsia="仿宋" w:cs="宋体"/>
                <w:color w:val="333333"/>
                <w:kern w:val="0"/>
                <w:sz w:val="24"/>
                <w:szCs w:val="24"/>
                <w:lang w:val="en-US" w:eastAsia="zh-CN"/>
              </w:rPr>
              <w:t>0%-5%，合计0%-5%。</w:t>
            </w:r>
          </w:p>
        </w:tc>
      </w:tr>
    </w:tbl>
    <w:p>
      <w:pPr>
        <w:snapToGrid w:val="0"/>
        <w:spacing w:line="240" w:lineRule="exact"/>
        <w:jc w:val="left"/>
        <w:rPr>
          <w:rFonts w:hint="eastAsia" w:ascii="楷体_GB2312" w:hAnsi="宋体" w:eastAsia="楷体_GB2312"/>
          <w:sz w:val="24"/>
          <w:szCs w:val="24"/>
        </w:rPr>
      </w:pPr>
    </w:p>
    <w:p>
      <w:pPr>
        <w:snapToGrid w:val="0"/>
        <w:spacing w:line="240" w:lineRule="exact"/>
        <w:jc w:val="left"/>
        <w:rPr>
          <w:rFonts w:hint="eastAsia" w:ascii="方正仿宋_GBK" w:hAnsi="宋体" w:eastAsia="方正仿宋_GBK"/>
          <w:sz w:val="24"/>
          <w:szCs w:val="24"/>
        </w:rPr>
      </w:pPr>
      <w:r>
        <w:rPr>
          <w:rFonts w:hint="eastAsia" w:ascii="方正仿宋_GBK" w:hAnsi="宋体" w:eastAsia="方正仿宋_GBK"/>
          <w:sz w:val="24"/>
          <w:szCs w:val="24"/>
        </w:rPr>
        <w:t>注解：</w:t>
      </w:r>
    </w:p>
    <w:p>
      <w:pPr>
        <w:snapToGrid w:val="0"/>
        <w:spacing w:line="360" w:lineRule="auto"/>
        <w:ind w:firstLine="480" w:firstLineChars="200"/>
        <w:jc w:val="left"/>
        <w:rPr>
          <w:rFonts w:hint="eastAsia" w:ascii="方正仿宋_GBK" w:hAnsi="宋体" w:eastAsia="方正仿宋_GBK"/>
          <w:sz w:val="24"/>
          <w:szCs w:val="24"/>
        </w:rPr>
      </w:pPr>
      <w:r>
        <w:rPr>
          <w:rFonts w:hint="eastAsia" w:ascii="方正仿宋_GBK" w:hAnsi="宋体" w:eastAsia="方正仿宋_GBK"/>
          <w:sz w:val="24"/>
          <w:szCs w:val="24"/>
        </w:rPr>
        <w:t>1.申报方申请简易案件的理由是基于1-3项时，须在备注中说明界定的相关商品市场和相关地域市场（无须阐述界定理由），以及相关市场份额；市场份额可以区间形式提供，区间幅度不应超过5%。1-3项可以多选，也可单选；没有勾选的，视为本集中不涉及该类型交易。</w:t>
      </w:r>
    </w:p>
    <w:p>
      <w:pPr>
        <w:spacing w:line="360" w:lineRule="auto"/>
        <w:ind w:firstLine="480" w:firstLineChars="200"/>
        <w:rPr>
          <w:rFonts w:hint="eastAsia" w:ascii="方正仿宋_GBK" w:hAnsi="Times New Roman" w:eastAsia="方正仿宋_GBK"/>
          <w:sz w:val="28"/>
          <w:szCs w:val="28"/>
        </w:rPr>
      </w:pPr>
      <w:r>
        <w:rPr>
          <w:rFonts w:hint="eastAsia" w:ascii="方正仿宋_GBK" w:hAnsi="宋体" w:eastAsia="方正仿宋_GBK"/>
          <w:sz w:val="24"/>
          <w:szCs w:val="24"/>
        </w:rPr>
        <w:t>2.申报方申请简易案件的理由是基于第4项、第5项时，无须在备注中说明相关市场和市场份额。</w:t>
      </w:r>
      <w:r>
        <w:rPr>
          <w:rFonts w:hint="eastAsia" w:ascii="方正仿宋_GBK" w:hAnsi="宋体" w:eastAsia="方正仿宋_GBK"/>
          <w:sz w:val="24"/>
          <w:szCs w:val="24"/>
        </w:rPr>
        <w:br w:type="textWrapping"/>
      </w:r>
      <w:r>
        <w:rPr>
          <w:rFonts w:hint="eastAsia" w:ascii="方正仿宋_GBK" w:hAnsi="宋体" w:eastAsia="方正仿宋_GBK"/>
          <w:sz w:val="24"/>
          <w:szCs w:val="24"/>
        </w:rPr>
        <w:t xml:space="preserve">    3.由两个或两个以上经营者共同控制的合营企业，通过集中被其中的一个经营者控制，如果该经营者与合营企业属于同一相关市场的竞争者，则申报方在申请简易案件时，须同时勾选第1项和第6项理由，并在备注中说明界定的相关商品市场和相关地域市场（无须阐述界定理由），以及相关市场份额。市场份额可以区间形式提供，区间幅度不应超过5%。</w:t>
      </w:r>
    </w:p>
    <w:p/>
    <w:p>
      <w:pPr>
        <w:rPr>
          <w:rFonts w:hint="eastAsia" w:eastAsia="宋体"/>
          <w:lang w:val="en-US" w:eastAsia="zh-CN"/>
        </w:rPr>
      </w:pPr>
      <w:r>
        <w:rPr>
          <w:rFonts w:hint="eastAsia"/>
          <w:lang w:val="en-US" w:eastAsia="zh-CN"/>
        </w:rPr>
        <w:t xml:space="preserve">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Wingdings 2">
    <w:panose1 w:val="05020102010507070707"/>
    <w:charset w:val="00"/>
    <w:family w:val="auto"/>
    <w:pitch w:val="default"/>
    <w:sig w:usb0="00000000" w:usb1="00000000" w:usb2="00000000" w:usb3="00000000" w:csb0="80000000" w:csb1="00000000"/>
  </w:font>
  <w:font w:name="方正仿宋_GBK">
    <w:altName w:val="Arial Unicode MS"/>
    <w:panose1 w:val="03000509000000000000"/>
    <w:charset w:val="86"/>
    <w:family w:val="script"/>
    <w:pitch w:val="default"/>
    <w:sig w:usb0="00000000" w:usb1="00000000" w:usb2="00000010" w:usb3="00000000" w:csb0="00040000" w:csb1="00000000"/>
  </w:font>
  <w:font w:name="楷体_GB2312">
    <w:panose1 w:val="02010609030101010101"/>
    <w:charset w:val="86"/>
    <w:family w:val="modern"/>
    <w:pitch w:val="default"/>
    <w:sig w:usb0="00000001" w:usb1="080E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 w:name="微软雅黑">
    <w:panose1 w:val="020B0503020204020204"/>
    <w:charset w:val="86"/>
    <w:family w:val="auto"/>
    <w:pitch w:val="default"/>
    <w:sig w:usb0="80000287" w:usb1="280F3C52"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val="1"/>
  <w:bordersDoNotSurroundFooter w:val="1"/>
  <w:trackRevisions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CB00DF"/>
    <w:rsid w:val="00037065"/>
    <w:rsid w:val="000D7EBA"/>
    <w:rsid w:val="001164CD"/>
    <w:rsid w:val="00155717"/>
    <w:rsid w:val="001837A3"/>
    <w:rsid w:val="003C0AEB"/>
    <w:rsid w:val="004F7688"/>
    <w:rsid w:val="006467D8"/>
    <w:rsid w:val="006A531B"/>
    <w:rsid w:val="006F7693"/>
    <w:rsid w:val="00710140"/>
    <w:rsid w:val="007F2275"/>
    <w:rsid w:val="00915F0F"/>
    <w:rsid w:val="009532DF"/>
    <w:rsid w:val="00997019"/>
    <w:rsid w:val="009A5029"/>
    <w:rsid w:val="009D38D5"/>
    <w:rsid w:val="00A53F26"/>
    <w:rsid w:val="00AA0CC5"/>
    <w:rsid w:val="00B16AFE"/>
    <w:rsid w:val="00B65DD5"/>
    <w:rsid w:val="00BD10B6"/>
    <w:rsid w:val="00C07076"/>
    <w:rsid w:val="00CB00DF"/>
    <w:rsid w:val="00D73C72"/>
    <w:rsid w:val="00E0592B"/>
    <w:rsid w:val="00E31738"/>
    <w:rsid w:val="00E86786"/>
    <w:rsid w:val="00ED2F80"/>
    <w:rsid w:val="00F1624E"/>
    <w:rsid w:val="00F32F8A"/>
    <w:rsid w:val="00F810AA"/>
    <w:rsid w:val="00FB43EC"/>
    <w:rsid w:val="00FB6B40"/>
    <w:rsid w:val="026B3910"/>
    <w:rsid w:val="0F1E4926"/>
    <w:rsid w:val="282913F9"/>
    <w:rsid w:val="2C2E5DA5"/>
    <w:rsid w:val="30B02D30"/>
    <w:rsid w:val="3F203E35"/>
    <w:rsid w:val="4168193A"/>
    <w:rsid w:val="44296AA3"/>
    <w:rsid w:val="4F352001"/>
    <w:rsid w:val="60293256"/>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3">
    <w:name w:val="Default Paragraph Font"/>
    <w:semiHidden/>
    <w:unhideWhenUsed/>
    <w:qFormat/>
    <w:uiPriority w:val="1"/>
  </w:style>
  <w:style w:type="table" w:default="1" w:styleId="2">
    <w:name w:val="Normal Table"/>
    <w:semiHidden/>
    <w:unhideWhenUsed/>
    <w:qFormat/>
    <w:uiPriority w:val="99"/>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105</Words>
  <Characters>600</Characters>
  <Lines>5</Lines>
  <Paragraphs>1</Paragraphs>
  <TotalTime>27</TotalTime>
  <ScaleCrop>false</ScaleCrop>
  <LinksUpToDate>false</LinksUpToDate>
  <CharactersWithSpaces>704</CharactersWithSpaces>
  <Application>WPS Office_11.8.2.8555_F1E327BC-269C-435d-A152-05C5408002CA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2018-09-29T02:33:00Z</dcterms:created>
  <dc:creator>陈媚</dc:creator>
  <cp:lastModifiedBy>张威</cp:lastModifiedBy>
  <cp:lastPrinted>2022-02-22T09:59:00Z</cp:lastPrinted>
  <dcterms:modified xsi:type="dcterms:W3CDTF">2022-03-22T06:40:21Z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2052-11.8.2.8555</vt:lpwstr>
  </property>
</Properties>
</file>