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Arial" w:hAnsi="Arial" w:eastAsia="仿宋_GB2312" w:cs="Arial"/>
          <w:b/>
          <w:sz w:val="24"/>
          <w:szCs w:val="24"/>
        </w:rPr>
      </w:pPr>
      <w:r>
        <w:rPr>
          <w:rFonts w:ascii="Arial" w:hAnsi="Arial" w:eastAsia="仿宋_GB2312" w:cs="Arial"/>
          <w:b/>
          <w:sz w:val="24"/>
          <w:szCs w:val="24"/>
        </w:rPr>
        <w:t>经营者集中简易案件公示表</w:t>
      </w:r>
    </w:p>
    <w:p>
      <w:pPr>
        <w:jc w:val="left"/>
        <w:rPr>
          <w:rFonts w:ascii="Arial" w:hAnsi="Arial" w:eastAsia="仿宋_GB2312" w:cs="Arial"/>
          <w:sz w:val="24"/>
          <w:szCs w:val="24"/>
        </w:rPr>
      </w:pPr>
    </w:p>
    <w:tbl>
      <w:tblPr>
        <w:tblStyle w:val="8"/>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 w:hRule="atLeast"/>
        </w:trPr>
        <w:tc>
          <w:tcPr>
            <w:tcW w:w="1809" w:type="dxa"/>
            <w:shd w:val="clear" w:color="auto" w:fill="D8D8D8" w:themeFill="background1" w:themeFillShade="D9"/>
          </w:tcPr>
          <w:p>
            <w:pPr>
              <w:spacing w:line="500" w:lineRule="exact"/>
              <w:rPr>
                <w:rFonts w:ascii="Arial" w:hAnsi="Arial" w:eastAsia="仿宋_GB2312" w:cs="Arial"/>
                <w:sz w:val="24"/>
                <w:szCs w:val="24"/>
              </w:rPr>
            </w:pPr>
            <w:r>
              <w:rPr>
                <w:rFonts w:ascii="Arial" w:hAnsi="Arial" w:eastAsia="仿宋_GB2312" w:cs="Arial"/>
                <w:sz w:val="24"/>
                <w:szCs w:val="24"/>
              </w:rPr>
              <w:t>案件名称</w:t>
            </w:r>
          </w:p>
        </w:tc>
        <w:tc>
          <w:tcPr>
            <w:tcW w:w="6949" w:type="dxa"/>
            <w:gridSpan w:val="2"/>
          </w:tcPr>
          <w:p>
            <w:pPr>
              <w:jc w:val="left"/>
              <w:rPr>
                <w:rFonts w:ascii="Arial" w:hAnsi="Arial" w:eastAsia="仿宋_GB2312" w:cs="Arial"/>
                <w:sz w:val="24"/>
                <w:szCs w:val="24"/>
              </w:rPr>
            </w:pPr>
            <w:r>
              <w:rPr>
                <w:rFonts w:ascii="Arial" w:hAnsi="Arial" w:eastAsia="仿宋_GB2312" w:cs="Arial"/>
                <w:sz w:val="24"/>
                <w:szCs w:val="24"/>
              </w:rPr>
              <w:t>贝恩资本投资有限责任公司收购Phobos</w:t>
            </w:r>
            <w:r>
              <w:rPr>
                <w:rFonts w:hint="eastAsia" w:ascii="Arial" w:hAnsi="Arial" w:eastAsia="仿宋_GB2312" w:cs="Arial"/>
                <w:sz w:val="24"/>
                <w:szCs w:val="24"/>
              </w:rPr>
              <w:t>控股有限公司</w:t>
            </w:r>
            <w:r>
              <w:rPr>
                <w:rFonts w:ascii="Arial" w:hAnsi="Arial" w:eastAsia="仿宋_GB2312" w:cs="Arial"/>
                <w:sz w:val="24"/>
                <w:szCs w:val="24"/>
              </w:rPr>
              <w:t>股权案（以下简称“</w:t>
            </w:r>
            <w:r>
              <w:rPr>
                <w:rFonts w:ascii="Arial" w:hAnsi="Arial" w:eastAsia="仿宋_GB2312" w:cs="Arial"/>
                <w:b/>
                <w:sz w:val="24"/>
                <w:szCs w:val="24"/>
              </w:rPr>
              <w:t>本次交易</w:t>
            </w:r>
            <w:r>
              <w:rPr>
                <w:rFonts w:ascii="Arial" w:hAnsi="Arial" w:eastAsia="仿宋_GB2312" w:cs="Arial"/>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4" w:hRule="atLeast"/>
        </w:trPr>
        <w:tc>
          <w:tcPr>
            <w:tcW w:w="1809" w:type="dxa"/>
            <w:shd w:val="clear" w:color="auto" w:fill="D8D8D8" w:themeFill="background1" w:themeFillShade="D9"/>
          </w:tcPr>
          <w:p>
            <w:pPr>
              <w:spacing w:line="500" w:lineRule="exact"/>
              <w:rPr>
                <w:rFonts w:ascii="Arial" w:hAnsi="Arial" w:eastAsia="仿宋_GB2312" w:cs="Arial"/>
                <w:sz w:val="24"/>
                <w:szCs w:val="24"/>
              </w:rPr>
            </w:pPr>
            <w:r>
              <w:rPr>
                <w:rFonts w:ascii="Arial" w:hAnsi="Arial" w:eastAsia="仿宋_GB2312" w:cs="Arial"/>
                <w:sz w:val="24"/>
                <w:szCs w:val="24"/>
              </w:rPr>
              <w:t>交易概况（限200字内）</w:t>
            </w:r>
          </w:p>
        </w:tc>
        <w:tc>
          <w:tcPr>
            <w:tcW w:w="6949" w:type="dxa"/>
            <w:gridSpan w:val="2"/>
          </w:tcPr>
          <w:p>
            <w:pPr>
              <w:jc w:val="left"/>
              <w:rPr>
                <w:rFonts w:ascii="Arial" w:hAnsi="Arial" w:eastAsia="仿宋_GB2312" w:cs="Arial"/>
                <w:sz w:val="24"/>
                <w:szCs w:val="24"/>
              </w:rPr>
            </w:pPr>
            <w:r>
              <w:rPr>
                <w:rFonts w:ascii="Arial" w:hAnsi="Arial" w:eastAsia="仿宋_GB2312" w:cs="Arial"/>
                <w:sz w:val="24"/>
                <w:szCs w:val="24"/>
              </w:rPr>
              <w:t>贝恩资本投资有限责任公司（以下简称“</w:t>
            </w:r>
            <w:r>
              <w:rPr>
                <w:rFonts w:ascii="Arial" w:hAnsi="Arial" w:eastAsia="仿宋_GB2312" w:cs="Arial"/>
                <w:b/>
                <w:sz w:val="24"/>
                <w:szCs w:val="24"/>
              </w:rPr>
              <w:t>贝恩资本</w:t>
            </w:r>
            <w:r>
              <w:rPr>
                <w:rFonts w:ascii="Arial" w:hAnsi="Arial" w:eastAsia="仿宋_GB2312" w:cs="Arial"/>
                <w:sz w:val="24"/>
                <w:szCs w:val="24"/>
              </w:rPr>
              <w:t>”）管理的基金拟通过一家专为本次交易设立的实体BCPE Venus Cayman Bidco，购买Phobos</w:t>
            </w:r>
            <w:r>
              <w:rPr>
                <w:rFonts w:hint="eastAsia" w:ascii="Arial" w:hAnsi="Arial" w:eastAsia="仿宋_GB2312" w:cs="Arial"/>
                <w:sz w:val="24"/>
                <w:szCs w:val="24"/>
              </w:rPr>
              <w:t>控股有限公司</w:t>
            </w:r>
            <w:r>
              <w:rPr>
                <w:rFonts w:ascii="Arial" w:hAnsi="Arial" w:eastAsia="仿宋_GB2312" w:cs="Arial"/>
                <w:sz w:val="24"/>
                <w:szCs w:val="24"/>
              </w:rPr>
              <w:t>（以下简称“</w:t>
            </w:r>
            <w:r>
              <w:rPr>
                <w:rFonts w:ascii="Arial" w:hAnsi="Arial" w:eastAsia="仿宋_GB2312" w:cs="Arial"/>
                <w:b/>
                <w:sz w:val="24"/>
                <w:szCs w:val="24"/>
              </w:rPr>
              <w:t>Phobos</w:t>
            </w:r>
            <w:r>
              <w:rPr>
                <w:rFonts w:ascii="Arial" w:hAnsi="Arial" w:eastAsia="仿宋_GB2312" w:cs="Arial"/>
                <w:sz w:val="24"/>
                <w:szCs w:val="24"/>
              </w:rPr>
              <w:t>”）的股份。本次交易完成后，Phobos将由贝恩资本管理的基金单独控制。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8D8D8" w:themeFill="background1" w:themeFillShade="D9"/>
          </w:tcPr>
          <w:p>
            <w:pPr>
              <w:spacing w:line="500" w:lineRule="exact"/>
              <w:rPr>
                <w:rFonts w:ascii="Arial" w:hAnsi="Arial" w:eastAsia="仿宋_GB2312" w:cs="Arial"/>
                <w:sz w:val="24"/>
                <w:szCs w:val="24"/>
              </w:rPr>
            </w:pPr>
            <w:r>
              <w:rPr>
                <w:rFonts w:ascii="Arial" w:hAnsi="Arial" w:eastAsia="仿宋_GB2312" w:cs="Arial"/>
                <w:sz w:val="24"/>
                <w:szCs w:val="24"/>
              </w:rPr>
              <w:t>参与集中的经营者简介</w:t>
            </w:r>
          </w:p>
        </w:tc>
        <w:tc>
          <w:tcPr>
            <w:tcW w:w="1796" w:type="dxa"/>
          </w:tcPr>
          <w:p>
            <w:pPr>
              <w:numPr>
                <w:ilvl w:val="0"/>
                <w:numId w:val="1"/>
              </w:numPr>
              <w:ind w:left="0" w:firstLine="0"/>
              <w:jc w:val="left"/>
              <w:rPr>
                <w:rFonts w:ascii="Arial" w:hAnsi="Arial" w:eastAsia="仿宋_GB2312" w:cs="Arial"/>
                <w:sz w:val="24"/>
                <w:szCs w:val="24"/>
              </w:rPr>
            </w:pPr>
            <w:r>
              <w:rPr>
                <w:rFonts w:ascii="Arial" w:hAnsi="Arial" w:eastAsia="仿宋_GB2312" w:cs="Arial"/>
                <w:sz w:val="24"/>
                <w:szCs w:val="24"/>
              </w:rPr>
              <w:t>贝恩资本</w:t>
            </w:r>
          </w:p>
        </w:tc>
        <w:tc>
          <w:tcPr>
            <w:tcW w:w="5153" w:type="dxa"/>
          </w:tcPr>
          <w:p>
            <w:pPr>
              <w:jc w:val="left"/>
              <w:rPr>
                <w:rFonts w:ascii="Arial" w:hAnsi="Arial" w:eastAsia="仿宋_GB2312" w:cs="Arial"/>
                <w:sz w:val="24"/>
                <w:szCs w:val="24"/>
              </w:rPr>
            </w:pPr>
            <w:r>
              <w:rPr>
                <w:rFonts w:ascii="Arial" w:hAnsi="Arial" w:eastAsia="仿宋_GB2312" w:cs="Arial"/>
                <w:sz w:val="24"/>
                <w:szCs w:val="24"/>
              </w:rPr>
              <w:t>一家依据美国法律设立和存续的有限责任公司，成立于2000年5月11日，作为一家私募股权投资企业，通过其旗下基金在全球范围内的诸多行业领域（包括技术、媒体和电信、医疗保健、零售和消费产品、金融和商业服务以及工业/制造业）开展投资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8D8D8" w:themeFill="background1" w:themeFillShade="D9"/>
          </w:tcPr>
          <w:p>
            <w:pPr>
              <w:spacing w:line="500" w:lineRule="exact"/>
              <w:rPr>
                <w:rFonts w:ascii="Arial" w:hAnsi="Arial" w:eastAsia="仿宋_GB2312" w:cs="Arial"/>
                <w:sz w:val="24"/>
                <w:szCs w:val="24"/>
              </w:rPr>
            </w:pPr>
          </w:p>
        </w:tc>
        <w:tc>
          <w:tcPr>
            <w:tcW w:w="1796" w:type="dxa"/>
          </w:tcPr>
          <w:p>
            <w:pPr>
              <w:numPr>
                <w:ilvl w:val="0"/>
                <w:numId w:val="1"/>
              </w:numPr>
              <w:jc w:val="left"/>
              <w:rPr>
                <w:rFonts w:ascii="Arial" w:hAnsi="Arial" w:eastAsia="仿宋_GB2312" w:cs="Arial"/>
                <w:sz w:val="24"/>
                <w:szCs w:val="24"/>
              </w:rPr>
            </w:pPr>
            <w:r>
              <w:rPr>
                <w:rFonts w:ascii="Arial" w:hAnsi="Arial" w:eastAsia="仿宋_GB2312" w:cs="Arial"/>
                <w:sz w:val="24"/>
                <w:szCs w:val="24"/>
              </w:rPr>
              <w:t>Phobos</w:t>
            </w:r>
          </w:p>
        </w:tc>
        <w:tc>
          <w:tcPr>
            <w:tcW w:w="5153" w:type="dxa"/>
          </w:tcPr>
          <w:p>
            <w:pPr>
              <w:jc w:val="left"/>
              <w:rPr>
                <w:rFonts w:ascii="Arial" w:hAnsi="Arial" w:eastAsia="仿宋_GB2312" w:cs="Arial"/>
                <w:sz w:val="24"/>
                <w:szCs w:val="24"/>
              </w:rPr>
            </w:pPr>
            <w:r>
              <w:rPr>
                <w:rFonts w:ascii="Arial" w:hAnsi="Arial" w:eastAsia="仿宋_GB2312" w:cs="Arial"/>
                <w:sz w:val="24"/>
                <w:szCs w:val="24"/>
              </w:rPr>
              <w:t>一家依据开曼群岛法律设立和存续的有限责任公司，成立于2022年1月28日。Phobos及其关联实体在中国境内和中国境外从事业务流程外包服务和信息技术外包服务等业务。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8D8D8" w:themeFill="background1" w:themeFillShade="D9"/>
          </w:tcPr>
          <w:p>
            <w:pPr>
              <w:spacing w:line="500" w:lineRule="exact"/>
              <w:rPr>
                <w:rFonts w:ascii="Arial" w:hAnsi="Arial" w:eastAsia="仿宋_GB2312" w:cs="Arial"/>
                <w:sz w:val="24"/>
                <w:szCs w:val="24"/>
              </w:rPr>
            </w:pPr>
            <w:r>
              <w:rPr>
                <w:rFonts w:ascii="Arial" w:hAnsi="Arial" w:eastAsia="仿宋_GB2312" w:cs="Arial"/>
                <w:sz w:val="24"/>
                <w:szCs w:val="24"/>
              </w:rPr>
              <w:t>简易案件理由（可多选）</w:t>
            </w:r>
          </w:p>
        </w:tc>
        <w:tc>
          <w:tcPr>
            <w:tcW w:w="6949" w:type="dxa"/>
            <w:gridSpan w:val="2"/>
          </w:tcPr>
          <w:p>
            <w:pPr>
              <w:jc w:val="left"/>
              <w:rPr>
                <w:rFonts w:ascii="Arial" w:hAnsi="Arial" w:eastAsia="仿宋_GB2312" w:cs="Arial"/>
                <w:b/>
                <w:sz w:val="24"/>
                <w:szCs w:val="24"/>
              </w:rPr>
            </w:pPr>
            <w:r>
              <w:rPr>
                <w:rFonts w:ascii="Arial" w:hAnsi="Arial" w:eastAsia="仿宋_GB2312" w:cs="Arial"/>
                <w:b/>
                <w:sz w:val="24"/>
                <w:szCs w:val="24"/>
              </w:rPr>
              <w:sym w:font="Wingdings" w:char="F0FE"/>
            </w:r>
            <w:r>
              <w:rPr>
                <w:rFonts w:ascii="Arial" w:hAnsi="Arial" w:eastAsia="仿宋_GB2312" w:cs="Arial"/>
                <w:b/>
                <w:sz w:val="24"/>
                <w:szCs w:val="24"/>
              </w:rPr>
              <w:t>1. 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8D8D8" w:themeFill="background1" w:themeFillShade="D9"/>
          </w:tcPr>
          <w:p>
            <w:pPr>
              <w:spacing w:line="500" w:lineRule="exact"/>
              <w:rPr>
                <w:rFonts w:ascii="Arial" w:hAnsi="Arial" w:eastAsia="仿宋_GB2312" w:cs="Arial"/>
                <w:sz w:val="24"/>
                <w:szCs w:val="24"/>
              </w:rPr>
            </w:pPr>
          </w:p>
        </w:tc>
        <w:tc>
          <w:tcPr>
            <w:tcW w:w="6949" w:type="dxa"/>
            <w:gridSpan w:val="2"/>
          </w:tcPr>
          <w:p>
            <w:pPr>
              <w:jc w:val="left"/>
              <w:rPr>
                <w:rFonts w:ascii="Arial" w:hAnsi="Arial" w:eastAsia="仿宋_GB2312" w:cs="Arial"/>
                <w:sz w:val="24"/>
                <w:szCs w:val="24"/>
              </w:rPr>
            </w:pPr>
            <w:r>
              <w:rPr>
                <w:rFonts w:ascii="Arial" w:hAnsi="Arial" w:eastAsia="仿宋_GB2312" w:cs="Arial"/>
                <w:sz w:val="24"/>
                <w:szCs w:val="24"/>
              </w:rPr>
              <w:sym w:font="Wingdings" w:char="F0A8"/>
            </w:r>
            <w:r>
              <w:rPr>
                <w:rFonts w:ascii="Arial" w:hAnsi="Arial" w:eastAsia="仿宋_GB2312" w:cs="Arial"/>
                <w:sz w:val="24"/>
                <w:szCs w:val="24"/>
              </w:rPr>
              <w:t>2. 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8D8D8" w:themeFill="background1" w:themeFillShade="D9"/>
          </w:tcPr>
          <w:p>
            <w:pPr>
              <w:spacing w:line="500" w:lineRule="exact"/>
              <w:rPr>
                <w:rFonts w:ascii="Arial" w:hAnsi="Arial" w:eastAsia="仿宋_GB2312" w:cs="Arial"/>
                <w:sz w:val="24"/>
                <w:szCs w:val="24"/>
              </w:rPr>
            </w:pPr>
          </w:p>
        </w:tc>
        <w:tc>
          <w:tcPr>
            <w:tcW w:w="6949" w:type="dxa"/>
            <w:gridSpan w:val="2"/>
          </w:tcPr>
          <w:p>
            <w:pPr>
              <w:jc w:val="left"/>
              <w:rPr>
                <w:rFonts w:ascii="Arial" w:hAnsi="Arial" w:eastAsia="仿宋_GB2312" w:cs="Arial"/>
                <w:sz w:val="24"/>
                <w:szCs w:val="24"/>
              </w:rPr>
            </w:pPr>
            <w:r>
              <w:rPr>
                <w:rFonts w:ascii="Arial" w:hAnsi="Arial" w:eastAsia="仿宋_GB2312" w:cs="Arial"/>
                <w:sz w:val="24"/>
                <w:szCs w:val="24"/>
              </w:rPr>
              <w:sym w:font="Wingdings" w:char="F0A8"/>
            </w:r>
            <w:r>
              <w:rPr>
                <w:rFonts w:ascii="Arial" w:hAnsi="Arial" w:eastAsia="仿宋_GB2312" w:cs="Arial"/>
                <w:sz w:val="24"/>
                <w:szCs w:val="24"/>
              </w:rPr>
              <w:t>3. 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809" w:type="dxa"/>
            <w:vMerge w:val="continue"/>
            <w:shd w:val="clear" w:color="auto" w:fill="D8D8D8" w:themeFill="background1" w:themeFillShade="D9"/>
          </w:tcPr>
          <w:p>
            <w:pPr>
              <w:spacing w:line="500" w:lineRule="exact"/>
              <w:rPr>
                <w:rFonts w:ascii="Arial" w:hAnsi="Arial" w:eastAsia="仿宋_GB2312" w:cs="Arial"/>
                <w:sz w:val="24"/>
                <w:szCs w:val="24"/>
              </w:rPr>
            </w:pPr>
          </w:p>
        </w:tc>
        <w:tc>
          <w:tcPr>
            <w:tcW w:w="6949" w:type="dxa"/>
            <w:gridSpan w:val="2"/>
          </w:tcPr>
          <w:p>
            <w:pPr>
              <w:jc w:val="left"/>
              <w:rPr>
                <w:rFonts w:ascii="Arial" w:hAnsi="Arial" w:eastAsia="仿宋_GB2312" w:cs="Arial"/>
                <w:sz w:val="24"/>
                <w:szCs w:val="24"/>
              </w:rPr>
            </w:pPr>
            <w:r>
              <w:rPr>
                <w:rFonts w:ascii="Arial" w:hAnsi="Arial" w:eastAsia="仿宋_GB2312" w:cs="Arial"/>
                <w:sz w:val="24"/>
                <w:szCs w:val="24"/>
              </w:rPr>
              <w:sym w:font="Wingdings" w:char="F0A8"/>
            </w:r>
            <w:r>
              <w:rPr>
                <w:rFonts w:ascii="Arial" w:hAnsi="Arial" w:eastAsia="仿宋_GB2312" w:cs="Arial"/>
                <w:sz w:val="24"/>
                <w:szCs w:val="24"/>
              </w:rPr>
              <w:t>4. 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8D8D8" w:themeFill="background1" w:themeFillShade="D9"/>
          </w:tcPr>
          <w:p>
            <w:pPr>
              <w:spacing w:line="500" w:lineRule="exact"/>
              <w:rPr>
                <w:rFonts w:ascii="Arial" w:hAnsi="Arial" w:eastAsia="仿宋_GB2312" w:cs="Arial"/>
                <w:sz w:val="24"/>
                <w:szCs w:val="24"/>
              </w:rPr>
            </w:pPr>
          </w:p>
        </w:tc>
        <w:tc>
          <w:tcPr>
            <w:tcW w:w="6949" w:type="dxa"/>
            <w:gridSpan w:val="2"/>
          </w:tcPr>
          <w:p>
            <w:pPr>
              <w:jc w:val="left"/>
              <w:rPr>
                <w:rFonts w:ascii="Arial" w:hAnsi="Arial" w:eastAsia="仿宋_GB2312" w:cs="Arial"/>
                <w:sz w:val="24"/>
                <w:szCs w:val="24"/>
              </w:rPr>
            </w:pPr>
            <w:r>
              <w:rPr>
                <w:rFonts w:ascii="Arial" w:hAnsi="Arial" w:eastAsia="仿宋_GB2312" w:cs="Arial"/>
                <w:sz w:val="24"/>
                <w:szCs w:val="24"/>
              </w:rPr>
              <w:sym w:font="Wingdings" w:char="F0A8"/>
            </w:r>
            <w:r>
              <w:rPr>
                <w:rFonts w:ascii="Arial" w:hAnsi="Arial" w:eastAsia="仿宋_GB2312" w:cs="Arial"/>
                <w:sz w:val="24"/>
                <w:szCs w:val="24"/>
              </w:rPr>
              <w:t>5. 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8D8D8" w:themeFill="background1" w:themeFillShade="D9"/>
          </w:tcPr>
          <w:p>
            <w:pPr>
              <w:spacing w:line="500" w:lineRule="exact"/>
              <w:rPr>
                <w:rFonts w:ascii="Arial" w:hAnsi="Arial" w:eastAsia="仿宋_GB2312" w:cs="Arial"/>
                <w:sz w:val="24"/>
                <w:szCs w:val="24"/>
              </w:rPr>
            </w:pPr>
          </w:p>
        </w:tc>
        <w:tc>
          <w:tcPr>
            <w:tcW w:w="6949" w:type="dxa"/>
            <w:gridSpan w:val="2"/>
          </w:tcPr>
          <w:p>
            <w:pPr>
              <w:jc w:val="left"/>
              <w:rPr>
                <w:rFonts w:ascii="Arial" w:hAnsi="Arial" w:eastAsia="仿宋_GB2312" w:cs="Arial"/>
                <w:sz w:val="24"/>
                <w:szCs w:val="24"/>
              </w:rPr>
            </w:pPr>
            <w:r>
              <w:rPr>
                <w:rFonts w:ascii="Arial" w:hAnsi="Arial" w:eastAsia="仿宋_GB2312" w:cs="Arial"/>
                <w:sz w:val="24"/>
                <w:szCs w:val="24"/>
              </w:rPr>
              <w:sym w:font="Wingdings" w:char="F0A8"/>
            </w:r>
            <w:r>
              <w:rPr>
                <w:rFonts w:ascii="Arial" w:hAnsi="Arial" w:eastAsia="仿宋_GB2312" w:cs="Arial"/>
                <w:sz w:val="24"/>
                <w:szCs w:val="24"/>
              </w:rPr>
              <w:t>6. 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9" w:hRule="atLeast"/>
        </w:trPr>
        <w:tc>
          <w:tcPr>
            <w:tcW w:w="1809" w:type="dxa"/>
            <w:shd w:val="clear" w:color="auto" w:fill="D8D8D8" w:themeFill="background1" w:themeFillShade="D9"/>
          </w:tcPr>
          <w:p>
            <w:pPr>
              <w:spacing w:line="500" w:lineRule="exact"/>
              <w:rPr>
                <w:rFonts w:ascii="Arial" w:hAnsi="Arial" w:eastAsia="仿宋_GB2312" w:cs="Arial"/>
                <w:sz w:val="24"/>
                <w:szCs w:val="24"/>
              </w:rPr>
            </w:pPr>
            <w:r>
              <w:rPr>
                <w:rFonts w:ascii="Arial" w:hAnsi="Arial" w:eastAsia="仿宋_GB2312" w:cs="Arial"/>
                <w:sz w:val="24"/>
                <w:szCs w:val="24"/>
              </w:rPr>
              <w:t>备注</w:t>
            </w:r>
          </w:p>
        </w:tc>
        <w:tc>
          <w:tcPr>
            <w:tcW w:w="6949" w:type="dxa"/>
            <w:gridSpan w:val="2"/>
          </w:tcPr>
          <w:p>
            <w:pPr>
              <w:numPr>
                <w:ilvl w:val="0"/>
                <w:numId w:val="2"/>
              </w:numPr>
              <w:ind w:left="0" w:firstLine="0"/>
              <w:jc w:val="left"/>
              <w:rPr>
                <w:rFonts w:ascii="Arial" w:hAnsi="Arial" w:eastAsia="仿宋_GB2312" w:cs="Arial"/>
                <w:sz w:val="24"/>
                <w:szCs w:val="24"/>
              </w:rPr>
            </w:pPr>
            <w:r>
              <w:rPr>
                <w:rFonts w:ascii="Arial" w:hAnsi="Arial" w:eastAsia="仿宋_GB2312" w:cs="Arial"/>
                <w:b/>
                <w:sz w:val="24"/>
                <w:szCs w:val="24"/>
              </w:rPr>
              <w:t>相关市场</w:t>
            </w:r>
            <w:r>
              <w:rPr>
                <w:rFonts w:ascii="Arial" w:hAnsi="Arial" w:eastAsia="仿宋_GB2312" w:cs="Arial"/>
                <w:sz w:val="24"/>
                <w:szCs w:val="24"/>
              </w:rPr>
              <w:t>：中国</w:t>
            </w:r>
            <w:r>
              <w:rPr>
                <w:rFonts w:hint="eastAsia" w:ascii="Arial" w:hAnsi="Arial" w:eastAsia="仿宋_GB2312" w:cs="Arial"/>
                <w:sz w:val="24"/>
                <w:szCs w:val="24"/>
                <w:lang w:eastAsia="zh-CN"/>
              </w:rPr>
              <w:t>境内</w:t>
            </w:r>
            <w:bookmarkStart w:id="0" w:name="_GoBack"/>
            <w:bookmarkEnd w:id="0"/>
            <w:r>
              <w:rPr>
                <w:rFonts w:ascii="Arial" w:hAnsi="Arial" w:eastAsia="仿宋_GB2312" w:cs="Arial"/>
                <w:sz w:val="24"/>
                <w:szCs w:val="24"/>
              </w:rPr>
              <w:t>业务流程外包市场；</w:t>
            </w:r>
          </w:p>
          <w:p>
            <w:pPr>
              <w:numPr>
                <w:ilvl w:val="0"/>
                <w:numId w:val="2"/>
              </w:numPr>
              <w:ind w:left="0" w:firstLine="0"/>
              <w:jc w:val="left"/>
              <w:rPr>
                <w:rFonts w:ascii="Arial" w:hAnsi="Arial" w:eastAsia="仿宋_GB2312" w:cs="Arial"/>
                <w:sz w:val="24"/>
                <w:szCs w:val="24"/>
              </w:rPr>
            </w:pPr>
            <w:r>
              <w:rPr>
                <w:rFonts w:ascii="Arial" w:hAnsi="Arial" w:eastAsia="仿宋_GB2312" w:cs="Arial"/>
                <w:b/>
                <w:sz w:val="24"/>
                <w:szCs w:val="24"/>
              </w:rPr>
              <w:t>市场份额</w:t>
            </w:r>
            <w:r>
              <w:rPr>
                <w:rFonts w:ascii="Arial" w:hAnsi="Arial" w:eastAsia="仿宋_GB2312" w:cs="Arial"/>
                <w:sz w:val="24"/>
                <w:szCs w:val="24"/>
              </w:rPr>
              <w:t>：贝恩资本[0-5]%；Phobos[0-5]%；合计[0-5]%</w:t>
            </w:r>
          </w:p>
          <w:p>
            <w:pPr>
              <w:pStyle w:val="15"/>
              <w:ind w:left="840" w:firstLine="0" w:firstLineChars="0"/>
              <w:jc w:val="left"/>
              <w:rPr>
                <w:rFonts w:ascii="Arial" w:hAnsi="Arial" w:eastAsia="仿宋_GB2312" w:cs="Arial"/>
                <w:sz w:val="24"/>
                <w:szCs w:val="24"/>
              </w:rPr>
            </w:pPr>
          </w:p>
        </w:tc>
      </w:tr>
    </w:tbl>
    <w:p>
      <w:pPr>
        <w:snapToGrid w:val="0"/>
        <w:jc w:val="left"/>
        <w:rPr>
          <w:rFonts w:ascii="Arial" w:hAnsi="Arial" w:eastAsia="仿宋_GB2312" w:cs="Arial"/>
          <w:sz w:val="24"/>
          <w:szCs w:val="24"/>
        </w:rPr>
      </w:pPr>
    </w:p>
    <w:p>
      <w:pPr>
        <w:pStyle w:val="15"/>
        <w:numPr>
          <w:numId w:val="0"/>
        </w:numPr>
        <w:ind w:leftChars="0"/>
        <w:jc w:val="left"/>
        <w:rPr>
          <w:rFonts w:ascii="Arial" w:hAnsi="Arial" w:eastAsia="仿宋_GB2312" w:cs="Arial"/>
          <w:sz w:val="24"/>
          <w:szCs w:val="24"/>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w:panose1 w:val="020B0604020202020204"/>
    <w:charset w:val="00"/>
    <w:family w:val="swiss"/>
    <w:pitch w:val="default"/>
    <w:sig w:usb0="E0002AFF" w:usb1="C0007843" w:usb2="00000009" w:usb3="00000000" w:csb0="400001FF" w:csb1="FFFF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w:hAnsi="Arial" w:cs="Arial"/>
      </w:rPr>
      <w:id w:val="-485935968"/>
      <w:docPartObj>
        <w:docPartGallery w:val="AutoText"/>
      </w:docPartObj>
    </w:sdtPr>
    <w:sdtEndPr>
      <w:rPr>
        <w:rFonts w:ascii="Arial" w:hAnsi="Arial" w:cs="Arial"/>
      </w:rPr>
    </w:sdtEndPr>
    <w:sdtContent>
      <w:sdt>
        <w:sdtPr>
          <w:rPr>
            <w:rFonts w:ascii="Arial" w:hAnsi="Arial" w:cs="Arial"/>
          </w:rPr>
          <w:id w:val="1728636285"/>
          <w:docPartObj>
            <w:docPartGallery w:val="AutoText"/>
          </w:docPartObj>
        </w:sdtPr>
        <w:sdtEndPr>
          <w:rPr>
            <w:rFonts w:ascii="Arial" w:hAnsi="Arial" w:cs="Arial"/>
          </w:rPr>
        </w:sdtEndPr>
        <w:sdtContent>
          <w:p>
            <w:pPr>
              <w:pStyle w:val="5"/>
              <w:jc w:val="center"/>
              <w:rPr>
                <w:rFonts w:ascii="Arial" w:hAnsi="Arial" w:cs="Arial"/>
              </w:rPr>
            </w:pPr>
            <w:r>
              <w:rPr>
                <w:rFonts w:ascii="Arial" w:hAnsi="Arial" w:cs="Arial"/>
                <w:lang w:val="zh-CN"/>
              </w:rPr>
              <w:t xml:space="preserve"> </w:t>
            </w:r>
            <w:r>
              <w:rPr>
                <w:rFonts w:ascii="Arial" w:hAnsi="Arial" w:cs="Arial"/>
                <w:b/>
                <w:bCs/>
                <w:sz w:val="24"/>
                <w:szCs w:val="24"/>
              </w:rPr>
              <w:fldChar w:fldCharType="begin"/>
            </w:r>
            <w:r>
              <w:rPr>
                <w:rFonts w:ascii="Arial" w:hAnsi="Arial" w:cs="Arial"/>
                <w:b/>
                <w:bCs/>
              </w:rPr>
              <w:instrText xml:space="preserve">PAGE</w:instrText>
            </w:r>
            <w:r>
              <w:rPr>
                <w:rFonts w:ascii="Arial" w:hAnsi="Arial" w:cs="Arial"/>
                <w:b/>
                <w:bCs/>
                <w:sz w:val="24"/>
                <w:szCs w:val="24"/>
              </w:rPr>
              <w:fldChar w:fldCharType="separate"/>
            </w:r>
            <w:r>
              <w:rPr>
                <w:rFonts w:ascii="Arial" w:hAnsi="Arial" w:cs="Arial"/>
                <w:b/>
                <w:bCs/>
              </w:rPr>
              <w:t>2</w:t>
            </w:r>
            <w:r>
              <w:rPr>
                <w:rFonts w:ascii="Arial" w:hAnsi="Arial" w:cs="Arial"/>
                <w:b/>
                <w:bCs/>
                <w:sz w:val="24"/>
                <w:szCs w:val="24"/>
              </w:rPr>
              <w:fldChar w:fldCharType="end"/>
            </w:r>
            <w:r>
              <w:rPr>
                <w:rFonts w:ascii="Arial" w:hAnsi="Arial" w:cs="Arial"/>
                <w:lang w:val="zh-CN"/>
              </w:rPr>
              <w:t xml:space="preserve"> / </w:t>
            </w:r>
            <w:r>
              <w:rPr>
                <w:rFonts w:ascii="Arial" w:hAnsi="Arial" w:cs="Arial"/>
                <w:b/>
                <w:bCs/>
                <w:sz w:val="24"/>
                <w:szCs w:val="24"/>
              </w:rPr>
              <w:fldChar w:fldCharType="begin"/>
            </w:r>
            <w:r>
              <w:rPr>
                <w:rFonts w:ascii="Arial" w:hAnsi="Arial" w:cs="Arial"/>
                <w:b/>
                <w:bCs/>
              </w:rPr>
              <w:instrText xml:space="preserve">NUMPAGES</w:instrText>
            </w:r>
            <w:r>
              <w:rPr>
                <w:rFonts w:ascii="Arial" w:hAnsi="Arial" w:cs="Arial"/>
                <w:b/>
                <w:bCs/>
                <w:sz w:val="24"/>
                <w:szCs w:val="24"/>
              </w:rPr>
              <w:fldChar w:fldCharType="separate"/>
            </w:r>
            <w:r>
              <w:rPr>
                <w:rFonts w:ascii="Arial" w:hAnsi="Arial" w:cs="Arial"/>
                <w:b/>
                <w:bCs/>
              </w:rPr>
              <w:t>2</w:t>
            </w:r>
            <w:r>
              <w:rPr>
                <w:rFonts w:ascii="Arial" w:hAnsi="Arial" w:cs="Arial"/>
                <w:b/>
                <w:bCs/>
                <w:sz w:val="24"/>
                <w:szCs w:val="24"/>
              </w:rPr>
              <w:fldChar w:fldCharType="end"/>
            </w:r>
          </w:p>
        </w:sdtContent>
      </w:sdt>
    </w:sdtContent>
  </w:sdt>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AA4B8E"/>
    <w:multiLevelType w:val="multilevel"/>
    <w:tmpl w:val="19AA4B8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6ADB2F1C"/>
    <w:multiLevelType w:val="multilevel"/>
    <w:tmpl w:val="6ADB2F1C"/>
    <w:lvl w:ilvl="0" w:tentative="0">
      <w:start w:val="1"/>
      <w:numFmt w:val="decimal"/>
      <w:lvlText w:val="%1."/>
      <w:lvlJc w:val="left"/>
      <w:pPr>
        <w:ind w:left="360" w:hanging="360"/>
      </w:pPr>
      <w:rPr>
        <w:rFonts w:hint="default" w:ascii="Arial" w:hAnsi="Arial" w:eastAsia="仿宋_GB2312" w:cs="Arial"/>
        <w:sz w:val="24"/>
        <w:szCs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06CAC"/>
    <w:rsid w:val="000152B3"/>
    <w:rsid w:val="00033FDB"/>
    <w:rsid w:val="00050C31"/>
    <w:rsid w:val="00051C75"/>
    <w:rsid w:val="0007280D"/>
    <w:rsid w:val="00075455"/>
    <w:rsid w:val="00090C85"/>
    <w:rsid w:val="00094095"/>
    <w:rsid w:val="000D2E60"/>
    <w:rsid w:val="0014290A"/>
    <w:rsid w:val="00150E03"/>
    <w:rsid w:val="00151196"/>
    <w:rsid w:val="00165C5F"/>
    <w:rsid w:val="0016704D"/>
    <w:rsid w:val="00197DF6"/>
    <w:rsid w:val="001E3CB6"/>
    <w:rsid w:val="001E5106"/>
    <w:rsid w:val="001F22A4"/>
    <w:rsid w:val="001F3E49"/>
    <w:rsid w:val="002421BA"/>
    <w:rsid w:val="00260862"/>
    <w:rsid w:val="002B27F6"/>
    <w:rsid w:val="002B5A91"/>
    <w:rsid w:val="002D0A9A"/>
    <w:rsid w:val="002E0FF2"/>
    <w:rsid w:val="002E16A2"/>
    <w:rsid w:val="002E1FAB"/>
    <w:rsid w:val="002F362F"/>
    <w:rsid w:val="002F5DB5"/>
    <w:rsid w:val="0032792F"/>
    <w:rsid w:val="003D2B35"/>
    <w:rsid w:val="00422713"/>
    <w:rsid w:val="00436DE9"/>
    <w:rsid w:val="00443E39"/>
    <w:rsid w:val="00462174"/>
    <w:rsid w:val="004648AE"/>
    <w:rsid w:val="00470CDE"/>
    <w:rsid w:val="00474AF4"/>
    <w:rsid w:val="004A4182"/>
    <w:rsid w:val="004B1900"/>
    <w:rsid w:val="004E64AB"/>
    <w:rsid w:val="004F6BD7"/>
    <w:rsid w:val="0052211F"/>
    <w:rsid w:val="00546F8F"/>
    <w:rsid w:val="0055311F"/>
    <w:rsid w:val="00555158"/>
    <w:rsid w:val="00574C1B"/>
    <w:rsid w:val="005A2C19"/>
    <w:rsid w:val="005C4AE3"/>
    <w:rsid w:val="005C5697"/>
    <w:rsid w:val="005F74DE"/>
    <w:rsid w:val="00631232"/>
    <w:rsid w:val="006928FD"/>
    <w:rsid w:val="006B1D6E"/>
    <w:rsid w:val="006B341D"/>
    <w:rsid w:val="0072038D"/>
    <w:rsid w:val="00725714"/>
    <w:rsid w:val="007434F5"/>
    <w:rsid w:val="00745715"/>
    <w:rsid w:val="00761F8F"/>
    <w:rsid w:val="00765180"/>
    <w:rsid w:val="00774D23"/>
    <w:rsid w:val="00792C5D"/>
    <w:rsid w:val="007B2703"/>
    <w:rsid w:val="007D34F6"/>
    <w:rsid w:val="00802740"/>
    <w:rsid w:val="00822B7E"/>
    <w:rsid w:val="0082331E"/>
    <w:rsid w:val="00826CD9"/>
    <w:rsid w:val="00912E52"/>
    <w:rsid w:val="009311F6"/>
    <w:rsid w:val="00981297"/>
    <w:rsid w:val="009A1AFA"/>
    <w:rsid w:val="009F51F3"/>
    <w:rsid w:val="00A215C0"/>
    <w:rsid w:val="00A36511"/>
    <w:rsid w:val="00A3663A"/>
    <w:rsid w:val="00A43949"/>
    <w:rsid w:val="00A85090"/>
    <w:rsid w:val="00A86B91"/>
    <w:rsid w:val="00A913EF"/>
    <w:rsid w:val="00AA49C0"/>
    <w:rsid w:val="00AC26DC"/>
    <w:rsid w:val="00AC6727"/>
    <w:rsid w:val="00AD7A40"/>
    <w:rsid w:val="00B00C8C"/>
    <w:rsid w:val="00B10B7A"/>
    <w:rsid w:val="00B71B1B"/>
    <w:rsid w:val="00B94422"/>
    <w:rsid w:val="00BC2FA1"/>
    <w:rsid w:val="00BD605C"/>
    <w:rsid w:val="00BD7A22"/>
    <w:rsid w:val="00C05033"/>
    <w:rsid w:val="00C22538"/>
    <w:rsid w:val="00C300C8"/>
    <w:rsid w:val="00C37B78"/>
    <w:rsid w:val="00C544F8"/>
    <w:rsid w:val="00C73BAF"/>
    <w:rsid w:val="00CA48F1"/>
    <w:rsid w:val="00CC41E5"/>
    <w:rsid w:val="00CC7D37"/>
    <w:rsid w:val="00CE0897"/>
    <w:rsid w:val="00D352C0"/>
    <w:rsid w:val="00D35847"/>
    <w:rsid w:val="00D661C7"/>
    <w:rsid w:val="00D6665A"/>
    <w:rsid w:val="00DF5E25"/>
    <w:rsid w:val="00E14001"/>
    <w:rsid w:val="00E2092C"/>
    <w:rsid w:val="00E74947"/>
    <w:rsid w:val="00EA36A0"/>
    <w:rsid w:val="00EE3A34"/>
    <w:rsid w:val="00F16128"/>
    <w:rsid w:val="00F23AF2"/>
    <w:rsid w:val="00F60E13"/>
    <w:rsid w:val="00F82FFF"/>
    <w:rsid w:val="00F87C1F"/>
    <w:rsid w:val="00FA62E9"/>
    <w:rsid w:val="00FB6E50"/>
    <w:rsid w:val="455E0C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99" w:semiHidden="0"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uiPriority="99" w:name="page number"/>
    <w:lsdException w:qFormat="1"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7"/>
    <w:qFormat/>
    <w:uiPriority w:val="99"/>
    <w:pPr>
      <w:jc w:val="left"/>
    </w:pPr>
    <w:rPr>
      <w:rFonts w:ascii="Times New Roman" w:hAnsi="Times New Roman" w:eastAsia="宋体" w:cs="Times New Roman"/>
      <w:szCs w:val="24"/>
      <w:lang w:val="zh-CN" w:eastAsia="zh-CN"/>
    </w:rPr>
  </w:style>
  <w:style w:type="paragraph" w:styleId="3">
    <w:name w:val="endnote text"/>
    <w:basedOn w:val="1"/>
    <w:link w:val="12"/>
    <w:semiHidden/>
    <w:unhideWhenUsed/>
    <w:uiPriority w:val="99"/>
    <w:pPr>
      <w:snapToGrid w:val="0"/>
      <w:jc w:val="left"/>
    </w:pPr>
  </w:style>
  <w:style w:type="paragraph" w:styleId="4">
    <w:name w:val="Balloon Text"/>
    <w:basedOn w:val="1"/>
    <w:link w:val="16"/>
    <w:semiHidden/>
    <w:unhideWhenUsed/>
    <w:uiPriority w:val="99"/>
    <w:rPr>
      <w:sz w:val="18"/>
      <w:szCs w:val="18"/>
    </w:rPr>
  </w:style>
  <w:style w:type="paragraph" w:styleId="5">
    <w:name w:val="footer"/>
    <w:basedOn w:val="1"/>
    <w:link w:val="14"/>
    <w:unhideWhenUsed/>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table" w:styleId="8">
    <w:name w:val="Table Grid"/>
    <w:basedOn w:val="7"/>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endnote reference"/>
    <w:basedOn w:val="9"/>
    <w:semiHidden/>
    <w:unhideWhenUsed/>
    <w:qFormat/>
    <w:uiPriority w:val="99"/>
    <w:rPr>
      <w:vertAlign w:val="superscript"/>
    </w:rPr>
  </w:style>
  <w:style w:type="character" w:styleId="11">
    <w:name w:val="annotation reference"/>
    <w:qFormat/>
    <w:uiPriority w:val="99"/>
    <w:rPr>
      <w:sz w:val="21"/>
      <w:szCs w:val="21"/>
    </w:rPr>
  </w:style>
  <w:style w:type="character" w:customStyle="1" w:styleId="12">
    <w:name w:val="尾注文本 字符"/>
    <w:basedOn w:val="9"/>
    <w:link w:val="3"/>
    <w:semiHidden/>
    <w:qFormat/>
    <w:uiPriority w:val="99"/>
  </w:style>
  <w:style w:type="character" w:customStyle="1" w:styleId="13">
    <w:name w:val="页眉 字符"/>
    <w:basedOn w:val="9"/>
    <w:link w:val="6"/>
    <w:qFormat/>
    <w:uiPriority w:val="99"/>
    <w:rPr>
      <w:sz w:val="18"/>
      <w:szCs w:val="18"/>
    </w:rPr>
  </w:style>
  <w:style w:type="character" w:customStyle="1" w:styleId="14">
    <w:name w:val="页脚 字符"/>
    <w:basedOn w:val="9"/>
    <w:link w:val="5"/>
    <w:qFormat/>
    <w:uiPriority w:val="99"/>
    <w:rPr>
      <w:sz w:val="18"/>
      <w:szCs w:val="18"/>
    </w:rPr>
  </w:style>
  <w:style w:type="paragraph" w:styleId="15">
    <w:name w:val="List Paragraph"/>
    <w:basedOn w:val="1"/>
    <w:qFormat/>
    <w:uiPriority w:val="34"/>
    <w:pPr>
      <w:ind w:firstLine="420" w:firstLineChars="200"/>
    </w:pPr>
  </w:style>
  <w:style w:type="character" w:customStyle="1" w:styleId="16">
    <w:name w:val="批注框文本 字符"/>
    <w:basedOn w:val="9"/>
    <w:link w:val="4"/>
    <w:semiHidden/>
    <w:qFormat/>
    <w:uiPriority w:val="99"/>
    <w:rPr>
      <w:sz w:val="18"/>
      <w:szCs w:val="18"/>
    </w:rPr>
  </w:style>
  <w:style w:type="character" w:customStyle="1" w:styleId="17">
    <w:name w:val="批注文字 字符"/>
    <w:basedOn w:val="9"/>
    <w:link w:val="2"/>
    <w:qFormat/>
    <w:uiPriority w:val="99"/>
    <w:rPr>
      <w:rFonts w:ascii="Times New Roman" w:hAnsi="Times New Roman" w:eastAsia="宋体" w:cs="Times New Roman"/>
      <w:szCs w:val="24"/>
      <w:lang w:val="zh-CN" w:eastAsia="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165</Words>
  <Characters>946</Characters>
  <Lines>7</Lines>
  <Paragraphs>2</Paragraphs>
  <TotalTime>37</TotalTime>
  <ScaleCrop>false</ScaleCrop>
  <LinksUpToDate>false</LinksUpToDate>
  <CharactersWithSpaces>1109</CharactersWithSpaces>
  <Application>WPS Office_11.8.2.10393_F1E327BC-269C-435d-A152-05C5408002CA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2022-01-28T05:53:00Z</dcterms:created>
  <dc:creator>dell</dc:creator>
  <cp:lastModifiedBy>常亮</cp:lastModifiedBy>
  <cp:lastPrinted>2022-02-21T03:11:00Z</cp:lastPrinted>
  <dcterms:modified xsi:type="dcterms:W3CDTF">2022-02-28T09:14:03Z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ies>
</file>