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00" w:beforeAutospacing="1" w:after="100" w:afterAutospacing="1"/>
        <w:jc w:val="left"/>
        <w:rPr>
          <w:rFonts w:ascii="Arial" w:hAnsi="Arial" w:cs="Arial"/>
          <w:b/>
          <w:szCs w:val="21"/>
        </w:rPr>
      </w:pPr>
      <w:r>
        <w:rPr>
          <w:rFonts w:ascii="Arial" w:hAnsi="Arial" w:cs="Arial"/>
          <w:b/>
          <w:szCs w:val="21"/>
        </w:rPr>
        <w:t>附件2</w:t>
      </w:r>
    </w:p>
    <w:p>
      <w:pPr>
        <w:spacing w:line="440" w:lineRule="exact"/>
        <w:jc w:val="center"/>
        <w:rPr>
          <w:rFonts w:ascii="Arial" w:hAnsi="Arial" w:cs="Arial"/>
          <w:sz w:val="30"/>
          <w:szCs w:val="30"/>
        </w:rPr>
      </w:pPr>
      <w:r>
        <w:rPr>
          <w:rFonts w:ascii="Arial" w:hAnsi="Arial" w:cs="Arial"/>
          <w:sz w:val="30"/>
          <w:szCs w:val="30"/>
        </w:rPr>
        <w:t>经营者集中简易案件公示表</w:t>
      </w:r>
    </w:p>
    <w:p>
      <w:pPr>
        <w:spacing w:line="440" w:lineRule="exact"/>
        <w:jc w:val="center"/>
        <w:rPr>
          <w:rFonts w:ascii="Arial" w:hAnsi="Arial" w:cs="Arial"/>
          <w:sz w:val="30"/>
          <w:szCs w:val="30"/>
        </w:rPr>
      </w:pPr>
    </w:p>
    <w:tbl>
      <w:tblPr>
        <w:tblStyle w:val="4"/>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before="312" w:beforeLines="100" w:after="312" w:afterLines="100"/>
              <w:jc w:val="center"/>
              <w:rPr>
                <w:rFonts w:ascii="Arial" w:hAnsi="Arial" w:cs="Arial"/>
                <w:color w:val="333333"/>
                <w:kern w:val="0"/>
                <w:szCs w:val="21"/>
              </w:rPr>
            </w:pPr>
            <w:r>
              <w:rPr>
                <w:rFonts w:ascii="Arial" w:hAnsi="Arial" w:cs="Arial"/>
                <w:color w:val="333333"/>
                <w:kern w:val="0"/>
                <w:szCs w:val="21"/>
              </w:rPr>
              <w:t>案件名称</w:t>
            </w:r>
          </w:p>
        </w:tc>
        <w:tc>
          <w:tcPr>
            <w:tcW w:w="6949" w:type="dxa"/>
            <w:gridSpan w:val="2"/>
          </w:tcPr>
          <w:p>
            <w:pPr>
              <w:spacing w:before="312" w:beforeLines="100" w:after="312" w:afterLines="100"/>
              <w:rPr>
                <w:rFonts w:ascii="Arial" w:hAnsi="Arial" w:cs="Arial"/>
                <w:color w:val="333333"/>
                <w:kern w:val="0"/>
                <w:szCs w:val="21"/>
              </w:rPr>
            </w:pPr>
            <w:r>
              <w:rPr>
                <w:rFonts w:ascii="Arial" w:hAnsi="Arial" w:cs="Arial"/>
                <w:kern w:val="0"/>
                <w:szCs w:val="21"/>
              </w:rPr>
              <w:t>中国山东高速金融集团有限公司收购北控清洁能源集团有限公司股权案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before="312" w:beforeLines="100" w:after="312" w:afterLines="100"/>
              <w:jc w:val="center"/>
              <w:rPr>
                <w:rFonts w:ascii="Arial" w:hAnsi="Arial" w:cs="Arial"/>
                <w:color w:val="333333"/>
                <w:kern w:val="0"/>
                <w:szCs w:val="21"/>
              </w:rPr>
            </w:pPr>
            <w:r>
              <w:rPr>
                <w:rFonts w:ascii="Arial" w:hAnsi="Arial" w:cs="Arial"/>
                <w:color w:val="333333"/>
                <w:kern w:val="0"/>
                <w:szCs w:val="21"/>
              </w:rPr>
              <w:t>交易概况</w:t>
            </w:r>
            <w:r>
              <w:rPr>
                <w:rFonts w:ascii="Arial" w:hAnsi="Arial" w:cs="Arial"/>
                <w:color w:val="333333"/>
                <w:kern w:val="0"/>
                <w:szCs w:val="21"/>
              </w:rPr>
              <w:br w:type="textWrapping"/>
            </w:r>
            <w:r>
              <w:rPr>
                <w:rFonts w:ascii="Arial" w:hAnsi="Arial" w:cs="Arial"/>
                <w:color w:val="333333"/>
                <w:kern w:val="0"/>
                <w:szCs w:val="21"/>
              </w:rPr>
              <w:t>（限200字内）</w:t>
            </w:r>
          </w:p>
        </w:tc>
        <w:tc>
          <w:tcPr>
            <w:tcW w:w="6949" w:type="dxa"/>
            <w:gridSpan w:val="2"/>
          </w:tcPr>
          <w:p>
            <w:pPr>
              <w:spacing w:before="312" w:beforeLines="100" w:after="312" w:afterLines="100"/>
              <w:rPr>
                <w:rFonts w:ascii="Arial" w:hAnsi="Arial" w:cs="Arial"/>
                <w:color w:val="333333"/>
                <w:kern w:val="0"/>
                <w:szCs w:val="21"/>
              </w:rPr>
            </w:pPr>
            <w:r>
              <w:rPr>
                <w:rFonts w:ascii="Arial" w:hAnsi="Arial" w:cs="Arial"/>
                <w:kern w:val="0"/>
                <w:szCs w:val="21"/>
              </w:rPr>
              <w:t>中国山东高速金融集团有限公司（“</w:t>
            </w:r>
            <w:r>
              <w:rPr>
                <w:rFonts w:ascii="Arial" w:hAnsi="Arial" w:cs="Arial"/>
                <w:b/>
                <w:bCs/>
                <w:kern w:val="0"/>
                <w:szCs w:val="21"/>
              </w:rPr>
              <w:t>山高金融</w:t>
            </w:r>
            <w:r>
              <w:rPr>
                <w:rFonts w:ascii="Arial" w:hAnsi="Arial" w:cs="Arial"/>
                <w:kern w:val="0"/>
                <w:szCs w:val="21"/>
              </w:rPr>
              <w:t>”</w:t>
            </w:r>
            <w:r>
              <w:rPr>
                <w:rFonts w:ascii="Arial" w:hAnsi="Arial" w:cs="Arial"/>
                <w:kern w:val="0"/>
                <w:szCs w:val="21"/>
                <w:highlight w:val="none"/>
              </w:rPr>
              <w:t>）拟通过全资附属公司认购北控清洁能源集团有限公司（“</w:t>
            </w:r>
            <w:r>
              <w:rPr>
                <w:rFonts w:ascii="Arial" w:hAnsi="Arial" w:cs="Arial"/>
                <w:b/>
                <w:bCs/>
                <w:kern w:val="0"/>
                <w:szCs w:val="21"/>
                <w:highlight w:val="none"/>
              </w:rPr>
              <w:t>北控清洁能源</w:t>
            </w:r>
            <w:r>
              <w:rPr>
                <w:rFonts w:ascii="Arial" w:hAnsi="Arial" w:cs="Arial"/>
                <w:kern w:val="0"/>
                <w:szCs w:val="21"/>
                <w:highlight w:val="none"/>
              </w:rPr>
              <w:t>”）股份</w:t>
            </w:r>
            <w:r>
              <w:rPr>
                <w:rFonts w:hint="eastAsia" w:ascii="Arial" w:hAnsi="Arial" w:cs="Arial"/>
                <w:kern w:val="0"/>
                <w:szCs w:val="21"/>
                <w:highlight w:val="none"/>
              </w:rPr>
              <w:t>。本次交易前，北控清洁能源由</w:t>
            </w:r>
            <w:r>
              <w:rPr>
                <w:rFonts w:hint="eastAsia" w:ascii="Arial" w:hAnsi="Arial" w:cs="Arial"/>
                <w:kern w:val="0"/>
                <w:szCs w:val="21"/>
                <w:highlight w:val="none"/>
                <w:lang w:val="en-US" w:eastAsia="zh-CN"/>
              </w:rPr>
              <w:t>北京市国资委下属</w:t>
            </w:r>
            <w:r>
              <w:rPr>
                <w:rFonts w:hint="eastAsia" w:ascii="Arial" w:hAnsi="Arial" w:cs="Arial"/>
                <w:kern w:val="0"/>
                <w:szCs w:val="21"/>
                <w:highlight w:val="none"/>
              </w:rPr>
              <w:t>北京控股集团有限公司单独控制；本次交易后，山高金融将</w:t>
            </w:r>
            <w:r>
              <w:rPr>
                <w:rFonts w:ascii="Arial" w:hAnsi="Arial" w:cs="Arial"/>
                <w:kern w:val="0"/>
                <w:szCs w:val="21"/>
                <w:highlight w:val="none"/>
              </w:rPr>
              <w:t>取得对北控清洁能源的单独控制权。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before="312" w:beforeLines="100" w:after="312" w:afterLines="100"/>
              <w:jc w:val="center"/>
              <w:rPr>
                <w:rFonts w:ascii="Arial" w:hAnsi="Arial" w:cs="Arial"/>
                <w:color w:val="333333"/>
                <w:kern w:val="0"/>
                <w:szCs w:val="21"/>
              </w:rPr>
            </w:pPr>
            <w:r>
              <w:rPr>
                <w:rFonts w:ascii="Arial" w:hAnsi="Arial" w:cs="Arial"/>
                <w:color w:val="333333"/>
                <w:kern w:val="0"/>
                <w:szCs w:val="21"/>
              </w:rPr>
              <w:t>参与集中的</w:t>
            </w:r>
            <w:r>
              <w:rPr>
                <w:rFonts w:ascii="Arial" w:hAnsi="Arial" w:cs="Arial"/>
                <w:color w:val="333333"/>
                <w:kern w:val="0"/>
                <w:szCs w:val="21"/>
              </w:rPr>
              <w:br w:type="textWrapping"/>
            </w:r>
            <w:r>
              <w:rPr>
                <w:rFonts w:ascii="Arial" w:hAnsi="Arial" w:cs="Arial"/>
                <w:color w:val="333333"/>
                <w:kern w:val="0"/>
                <w:szCs w:val="21"/>
              </w:rPr>
              <w:t>经营者简介</w:t>
            </w:r>
          </w:p>
        </w:tc>
        <w:tc>
          <w:tcPr>
            <w:tcW w:w="1796" w:type="dxa"/>
          </w:tcPr>
          <w:p>
            <w:pPr>
              <w:spacing w:before="312" w:beforeLines="100" w:after="312" w:afterLines="100"/>
              <w:rPr>
                <w:rFonts w:ascii="Arial" w:hAnsi="Arial" w:cs="Arial"/>
                <w:color w:val="333333"/>
                <w:kern w:val="0"/>
                <w:szCs w:val="21"/>
              </w:rPr>
            </w:pPr>
            <w:r>
              <w:rPr>
                <w:rFonts w:ascii="Arial" w:hAnsi="Arial" w:cs="Arial"/>
                <w:color w:val="333333"/>
                <w:kern w:val="0"/>
                <w:szCs w:val="21"/>
              </w:rPr>
              <w:t>1、</w:t>
            </w:r>
            <w:r>
              <w:rPr>
                <w:rFonts w:ascii="Arial" w:hAnsi="Arial" w:cs="Arial"/>
                <w:kern w:val="0"/>
                <w:szCs w:val="21"/>
              </w:rPr>
              <w:t>山高金融</w:t>
            </w:r>
          </w:p>
        </w:tc>
        <w:tc>
          <w:tcPr>
            <w:tcW w:w="5153" w:type="dxa"/>
          </w:tcPr>
          <w:p>
            <w:pPr>
              <w:spacing w:before="312" w:beforeLines="100" w:after="312" w:afterLines="100"/>
              <w:rPr>
                <w:rFonts w:ascii="Arial" w:hAnsi="Arial" w:cs="Arial"/>
                <w:color w:val="333333"/>
                <w:kern w:val="0"/>
                <w:szCs w:val="21"/>
              </w:rPr>
            </w:pPr>
            <w:r>
              <w:rPr>
                <w:rFonts w:ascii="Arial" w:hAnsi="Arial" w:cs="Arial"/>
                <w:color w:val="333333"/>
                <w:kern w:val="0"/>
                <w:szCs w:val="21"/>
                <w:highlight w:val="none"/>
              </w:rPr>
              <w:t>山高金融于1992年于百慕大注册成立，</w:t>
            </w:r>
            <w:r>
              <w:rPr>
                <w:rFonts w:hint="eastAsia" w:ascii="Arial" w:hAnsi="Arial" w:cs="Arial"/>
                <w:color w:val="333333"/>
                <w:kern w:val="0"/>
                <w:szCs w:val="21"/>
                <w:highlight w:val="none"/>
              </w:rPr>
              <w:t>最终控制人是</w:t>
            </w:r>
            <w:r>
              <w:rPr>
                <w:rFonts w:hint="eastAsia" w:ascii="Arial" w:hAnsi="Arial" w:cs="Arial"/>
                <w:color w:val="333333"/>
                <w:kern w:val="0"/>
                <w:szCs w:val="21"/>
                <w:highlight w:val="none"/>
                <w:lang w:val="en-US" w:eastAsia="zh-CN"/>
              </w:rPr>
              <w:t>山东省国资委下属</w:t>
            </w:r>
            <w:r>
              <w:rPr>
                <w:rFonts w:ascii="Arial" w:hAnsi="Arial" w:cs="Arial"/>
                <w:color w:val="333333"/>
                <w:kern w:val="0"/>
                <w:szCs w:val="21"/>
                <w:highlight w:val="none"/>
              </w:rPr>
              <w:t>山东高速集团有限公司</w:t>
            </w:r>
            <w:r>
              <w:rPr>
                <w:rFonts w:hint="eastAsia" w:ascii="Arial" w:hAnsi="Arial" w:cs="Arial"/>
                <w:color w:val="333333"/>
                <w:kern w:val="0"/>
                <w:szCs w:val="21"/>
                <w:highlight w:val="none"/>
              </w:rPr>
              <w:t>。</w:t>
            </w:r>
            <w:r>
              <w:rPr>
                <w:rFonts w:ascii="Arial" w:hAnsi="Arial" w:cs="Arial"/>
                <w:color w:val="333333"/>
                <w:kern w:val="0"/>
                <w:szCs w:val="21"/>
                <w:highlight w:val="none"/>
              </w:rPr>
              <w:t>其主要业务为投资控股，而其附属公司的主要业务为融资租赁、放债、资产管理、营运资产交易平台、金融投资、科技金融及相关金融服务。</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before="312" w:beforeLines="100" w:after="312" w:afterLines="100"/>
              <w:jc w:val="center"/>
              <w:rPr>
                <w:rFonts w:ascii="Arial" w:hAnsi="Arial" w:cs="Arial"/>
                <w:color w:val="333333"/>
                <w:kern w:val="0"/>
                <w:szCs w:val="21"/>
              </w:rPr>
            </w:pPr>
          </w:p>
        </w:tc>
        <w:tc>
          <w:tcPr>
            <w:tcW w:w="1796" w:type="dxa"/>
          </w:tcPr>
          <w:p>
            <w:pPr>
              <w:spacing w:before="312" w:beforeLines="100" w:after="312" w:afterLines="100"/>
              <w:rPr>
                <w:rFonts w:ascii="Arial" w:hAnsi="Arial" w:cs="Arial"/>
                <w:color w:val="333333"/>
                <w:kern w:val="0"/>
                <w:szCs w:val="21"/>
              </w:rPr>
            </w:pPr>
            <w:r>
              <w:rPr>
                <w:rFonts w:ascii="Arial" w:hAnsi="Arial" w:cs="Arial"/>
                <w:color w:val="333333"/>
                <w:kern w:val="0"/>
                <w:szCs w:val="21"/>
              </w:rPr>
              <w:t>2、</w:t>
            </w:r>
            <w:r>
              <w:rPr>
                <w:rFonts w:ascii="Arial" w:hAnsi="Arial" w:cs="Arial"/>
                <w:kern w:val="0"/>
                <w:szCs w:val="21"/>
              </w:rPr>
              <w:t>北控清洁能源</w:t>
            </w:r>
          </w:p>
        </w:tc>
        <w:tc>
          <w:tcPr>
            <w:tcW w:w="5153" w:type="dxa"/>
          </w:tcPr>
          <w:p>
            <w:pPr>
              <w:spacing w:before="312" w:beforeLines="100" w:after="312" w:afterLines="100"/>
              <w:rPr>
                <w:rFonts w:ascii="Arial" w:hAnsi="Arial" w:cs="Arial"/>
                <w:color w:val="333333"/>
                <w:kern w:val="0"/>
                <w:szCs w:val="21"/>
              </w:rPr>
            </w:pPr>
            <w:r>
              <w:rPr>
                <w:rFonts w:ascii="Arial" w:hAnsi="Arial" w:cs="Arial"/>
                <w:color w:val="333333"/>
                <w:kern w:val="0"/>
                <w:szCs w:val="21"/>
                <w:highlight w:val="none"/>
              </w:rPr>
              <w:t>北控清洁能源于2013年在开曼群岛注册成立，</w:t>
            </w:r>
            <w:r>
              <w:rPr>
                <w:rFonts w:hint="eastAsia" w:ascii="Arial" w:hAnsi="Arial" w:cs="Arial"/>
                <w:color w:val="333333"/>
                <w:kern w:val="0"/>
                <w:szCs w:val="21"/>
                <w:highlight w:val="none"/>
              </w:rPr>
              <w:t>最终控制人是</w:t>
            </w:r>
            <w:r>
              <w:rPr>
                <w:rFonts w:hint="eastAsia" w:ascii="Arial" w:hAnsi="Arial" w:cs="Arial"/>
                <w:kern w:val="0"/>
                <w:szCs w:val="21"/>
                <w:highlight w:val="none"/>
                <w:lang w:val="en-US" w:eastAsia="zh-CN"/>
              </w:rPr>
              <w:t>北京市国资委下属</w:t>
            </w:r>
            <w:r>
              <w:rPr>
                <w:rFonts w:ascii="Arial" w:hAnsi="Arial" w:cs="Arial"/>
                <w:color w:val="333333"/>
                <w:kern w:val="0"/>
                <w:szCs w:val="21"/>
                <w:highlight w:val="none"/>
              </w:rPr>
              <w:t>北京控股集团有限公司</w:t>
            </w:r>
            <w:r>
              <w:rPr>
                <w:rFonts w:hint="eastAsia" w:ascii="Arial" w:hAnsi="Arial" w:cs="Arial"/>
                <w:color w:val="333333"/>
                <w:kern w:val="0"/>
                <w:szCs w:val="21"/>
                <w:highlight w:val="none"/>
              </w:rPr>
              <w:t>。</w:t>
            </w:r>
            <w:r>
              <w:rPr>
                <w:rFonts w:ascii="Arial" w:hAnsi="Arial" w:cs="Arial"/>
                <w:color w:val="333333"/>
                <w:kern w:val="0"/>
                <w:szCs w:val="21"/>
                <w:highlight w:val="none"/>
              </w:rPr>
              <w:t>其主要业务为光伏发电</w:t>
            </w:r>
            <w:r>
              <w:rPr>
                <w:rFonts w:hint="eastAsia" w:ascii="Arial" w:hAnsi="Arial" w:cs="Arial"/>
                <w:color w:val="333333"/>
                <w:kern w:val="0"/>
                <w:szCs w:val="21"/>
                <w:highlight w:val="none"/>
              </w:rPr>
              <w:t>及相应</w:t>
            </w:r>
            <w:r>
              <w:rPr>
                <w:rFonts w:hint="eastAsia" w:ascii="Arial" w:hAnsi="Arial" w:cs="Arial"/>
                <w:bCs/>
                <w:color w:val="333333"/>
                <w:kern w:val="0"/>
                <w:szCs w:val="21"/>
                <w:highlight w:val="none"/>
                <w:u w:val="none"/>
              </w:rPr>
              <w:t>电站工程总承包业务</w:t>
            </w:r>
            <w:r>
              <w:rPr>
                <w:rFonts w:ascii="Arial" w:hAnsi="Arial" w:cs="Arial"/>
                <w:color w:val="333333"/>
                <w:kern w:val="0"/>
                <w:szCs w:val="21"/>
                <w:highlight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before="312" w:beforeLines="100" w:after="312" w:afterLines="100"/>
              <w:jc w:val="center"/>
              <w:rPr>
                <w:rFonts w:ascii="Arial" w:hAnsi="Arial" w:cs="Arial"/>
                <w:color w:val="333333"/>
                <w:kern w:val="0"/>
                <w:szCs w:val="21"/>
              </w:rPr>
            </w:pPr>
            <w:r>
              <w:rPr>
                <w:rFonts w:ascii="Arial" w:hAnsi="Arial" w:cs="Arial"/>
                <w:color w:val="333333"/>
                <w:kern w:val="0"/>
                <w:szCs w:val="21"/>
              </w:rPr>
              <w:t>简易案件理由（可以单选，也可以多选）</w:t>
            </w:r>
          </w:p>
        </w:tc>
        <w:tc>
          <w:tcPr>
            <w:tcW w:w="6949" w:type="dxa"/>
            <w:gridSpan w:val="2"/>
          </w:tcPr>
          <w:p>
            <w:pPr>
              <w:spacing w:before="312" w:beforeLines="100" w:after="312" w:afterLines="100"/>
              <w:rPr>
                <w:rFonts w:ascii="Arial" w:hAnsi="Arial" w:cs="Arial"/>
                <w:b/>
                <w:bCs/>
                <w:color w:val="333333"/>
                <w:kern w:val="0"/>
                <w:szCs w:val="21"/>
              </w:rPr>
            </w:pPr>
            <w:r>
              <w:rPr>
                <w:rFonts w:ascii="Arial" w:hAnsi="Arial" w:cs="Arial"/>
                <w:b/>
                <w:bCs/>
                <w:szCs w:val="21"/>
              </w:rPr>
              <w:sym w:font="Wingdings" w:char="F0FE"/>
            </w:r>
            <w:r>
              <w:rPr>
                <w:rFonts w:ascii="Arial" w:hAnsi="Arial" w:cs="Arial"/>
                <w:b/>
                <w:bCs/>
                <w:szCs w:val="21"/>
              </w:rPr>
              <w:t xml:space="preserve"> </w:t>
            </w:r>
            <w:r>
              <w:rPr>
                <w:rFonts w:ascii="Arial" w:hAnsi="Arial" w:cs="Arial"/>
                <w:b/>
                <w:bCs/>
                <w:color w:val="333333"/>
                <w:kern w:val="0"/>
                <w:szCs w:val="21"/>
              </w:rPr>
              <w:t>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before="312" w:beforeLines="100" w:after="312" w:afterLines="100"/>
              <w:jc w:val="center"/>
              <w:rPr>
                <w:rFonts w:ascii="Arial" w:hAnsi="Arial" w:cs="Arial"/>
                <w:color w:val="333333"/>
                <w:kern w:val="0"/>
                <w:szCs w:val="21"/>
              </w:rPr>
            </w:pPr>
          </w:p>
        </w:tc>
        <w:tc>
          <w:tcPr>
            <w:tcW w:w="6949" w:type="dxa"/>
            <w:gridSpan w:val="2"/>
          </w:tcPr>
          <w:p>
            <w:pPr>
              <w:spacing w:before="312" w:beforeLines="100" w:after="312" w:afterLines="100"/>
              <w:rPr>
                <w:rFonts w:ascii="Arial" w:hAnsi="Arial" w:cs="Arial"/>
                <w:b/>
                <w:bCs/>
                <w:color w:val="333333"/>
                <w:kern w:val="0"/>
                <w:szCs w:val="21"/>
              </w:rPr>
            </w:pPr>
            <w:r>
              <w:rPr>
                <w:rFonts w:ascii="Arial" w:hAnsi="Arial" w:cs="Arial"/>
                <w:b/>
                <w:bCs/>
                <w:szCs w:val="21"/>
              </w:rPr>
              <w:sym w:font="Wingdings" w:char="F0FE"/>
            </w:r>
            <w:r>
              <w:rPr>
                <w:rFonts w:ascii="Arial" w:hAnsi="Arial" w:cs="Arial"/>
                <w:b/>
                <w:bCs/>
                <w:szCs w:val="21"/>
              </w:rPr>
              <w:t xml:space="preserve"> </w:t>
            </w:r>
            <w:r>
              <w:rPr>
                <w:rFonts w:ascii="Arial" w:hAnsi="Arial" w:cs="Arial"/>
                <w:b/>
                <w:bCs/>
                <w:color w:val="333333"/>
                <w:kern w:val="0"/>
                <w:szCs w:val="21"/>
              </w:rPr>
              <w:t>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before="312" w:beforeLines="100" w:after="312" w:afterLines="100"/>
              <w:jc w:val="center"/>
              <w:rPr>
                <w:rFonts w:ascii="Arial" w:hAnsi="Arial" w:cs="Arial"/>
                <w:color w:val="333333"/>
                <w:kern w:val="0"/>
                <w:szCs w:val="21"/>
              </w:rPr>
            </w:pPr>
          </w:p>
        </w:tc>
        <w:tc>
          <w:tcPr>
            <w:tcW w:w="6949" w:type="dxa"/>
            <w:gridSpan w:val="2"/>
          </w:tcPr>
          <w:p>
            <w:pPr>
              <w:spacing w:before="312" w:beforeLines="100" w:after="312" w:afterLines="100"/>
              <w:rPr>
                <w:rFonts w:ascii="Arial" w:hAnsi="Arial" w:cs="Arial"/>
                <w:color w:val="333333"/>
                <w:kern w:val="0"/>
                <w:szCs w:val="21"/>
              </w:rPr>
            </w:pPr>
            <w:r>
              <w:rPr>
                <w:rFonts w:ascii="Arial" w:hAnsi="Arial" w:cs="Arial"/>
                <w:szCs w:val="21"/>
              </w:rPr>
              <w:sym w:font="Wingdings" w:char="F0A8"/>
            </w:r>
            <w:r>
              <w:rPr>
                <w:rFonts w:ascii="Arial" w:hAnsi="Arial" w:cs="Arial"/>
                <w:szCs w:val="21"/>
              </w:rPr>
              <w:t xml:space="preserve"> </w:t>
            </w:r>
            <w:r>
              <w:rPr>
                <w:rFonts w:ascii="Arial" w:hAnsi="Arial" w:cs="Arial"/>
                <w:color w:val="333333"/>
                <w:kern w:val="0"/>
                <w:szCs w:val="21"/>
              </w:rPr>
              <w:t>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before="312" w:beforeLines="100" w:after="312" w:afterLines="100"/>
              <w:jc w:val="center"/>
              <w:rPr>
                <w:rFonts w:ascii="Arial" w:hAnsi="Arial" w:cs="Arial"/>
                <w:color w:val="333333"/>
                <w:kern w:val="0"/>
                <w:szCs w:val="21"/>
              </w:rPr>
            </w:pPr>
          </w:p>
        </w:tc>
        <w:tc>
          <w:tcPr>
            <w:tcW w:w="6949" w:type="dxa"/>
            <w:gridSpan w:val="2"/>
          </w:tcPr>
          <w:p>
            <w:pPr>
              <w:spacing w:before="312" w:beforeLines="100" w:after="312" w:afterLines="100"/>
              <w:rPr>
                <w:rFonts w:ascii="Arial" w:hAnsi="Arial" w:cs="Arial"/>
                <w:color w:val="333333"/>
                <w:kern w:val="0"/>
                <w:szCs w:val="21"/>
              </w:rPr>
            </w:pPr>
            <w:r>
              <w:rPr>
                <w:rFonts w:ascii="Arial" w:hAnsi="Arial" w:cs="Arial"/>
                <w:szCs w:val="21"/>
              </w:rPr>
              <w:sym w:font="Wingdings" w:char="F0A8"/>
            </w:r>
            <w:r>
              <w:rPr>
                <w:rFonts w:ascii="Arial" w:hAnsi="Arial" w:cs="Arial"/>
                <w:szCs w:val="21"/>
              </w:rPr>
              <w:t xml:space="preserve"> </w:t>
            </w:r>
            <w:r>
              <w:rPr>
                <w:rFonts w:ascii="Arial" w:hAnsi="Arial" w:cs="Arial"/>
                <w:color w:val="333333"/>
                <w:kern w:val="0"/>
                <w:szCs w:val="21"/>
              </w:rPr>
              <w:t>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before="312" w:beforeLines="100" w:after="312" w:afterLines="100"/>
              <w:jc w:val="center"/>
              <w:rPr>
                <w:rFonts w:ascii="Arial" w:hAnsi="Arial" w:cs="Arial"/>
                <w:color w:val="333333"/>
                <w:kern w:val="0"/>
                <w:szCs w:val="21"/>
              </w:rPr>
            </w:pPr>
          </w:p>
        </w:tc>
        <w:tc>
          <w:tcPr>
            <w:tcW w:w="6949" w:type="dxa"/>
            <w:gridSpan w:val="2"/>
          </w:tcPr>
          <w:p>
            <w:pPr>
              <w:spacing w:before="312" w:beforeLines="100" w:after="312" w:afterLines="100"/>
              <w:rPr>
                <w:rFonts w:ascii="Arial" w:hAnsi="Arial" w:cs="Arial"/>
                <w:color w:val="333333"/>
                <w:kern w:val="0"/>
                <w:szCs w:val="21"/>
              </w:rPr>
            </w:pPr>
            <w:r>
              <w:rPr>
                <w:rFonts w:ascii="Arial" w:hAnsi="Arial" w:cs="Arial"/>
                <w:szCs w:val="21"/>
              </w:rPr>
              <w:sym w:font="Wingdings" w:char="F0A8"/>
            </w:r>
            <w:r>
              <w:rPr>
                <w:rFonts w:ascii="Arial" w:hAnsi="Arial" w:cs="Arial"/>
                <w:szCs w:val="21"/>
              </w:rPr>
              <w:t xml:space="preserve"> </w:t>
            </w:r>
            <w:r>
              <w:rPr>
                <w:rFonts w:ascii="Arial" w:hAnsi="Arial" w:cs="Arial"/>
                <w:color w:val="333333"/>
                <w:kern w:val="0"/>
                <w:szCs w:val="21"/>
              </w:rPr>
              <w:t>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before="312" w:beforeLines="100" w:after="312" w:afterLines="100"/>
              <w:jc w:val="center"/>
              <w:rPr>
                <w:rFonts w:ascii="Arial" w:hAnsi="Arial" w:cs="Arial"/>
                <w:color w:val="333333"/>
                <w:kern w:val="0"/>
                <w:szCs w:val="21"/>
              </w:rPr>
            </w:pPr>
          </w:p>
        </w:tc>
        <w:tc>
          <w:tcPr>
            <w:tcW w:w="6949" w:type="dxa"/>
            <w:gridSpan w:val="2"/>
          </w:tcPr>
          <w:p>
            <w:pPr>
              <w:spacing w:before="312" w:beforeLines="100" w:after="312" w:afterLines="100"/>
              <w:rPr>
                <w:rFonts w:ascii="Arial" w:hAnsi="Arial" w:cs="Arial"/>
                <w:color w:val="333333"/>
                <w:kern w:val="0"/>
                <w:szCs w:val="21"/>
              </w:rPr>
            </w:pPr>
            <w:r>
              <w:rPr>
                <w:rFonts w:ascii="Arial" w:hAnsi="Arial" w:cs="Arial"/>
                <w:szCs w:val="21"/>
              </w:rPr>
              <w:sym w:font="Wingdings" w:char="F0A8"/>
            </w:r>
            <w:r>
              <w:rPr>
                <w:rFonts w:ascii="Arial" w:hAnsi="Arial" w:cs="Arial"/>
                <w:szCs w:val="21"/>
              </w:rPr>
              <w:t xml:space="preserve"> </w:t>
            </w:r>
            <w:r>
              <w:rPr>
                <w:rFonts w:ascii="Arial" w:hAnsi="Arial" w:cs="Arial"/>
                <w:color w:val="333333"/>
                <w:kern w:val="0"/>
                <w:szCs w:val="21"/>
              </w:rPr>
              <w:t>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before="312" w:beforeLines="100" w:after="312" w:afterLines="100"/>
              <w:jc w:val="center"/>
              <w:rPr>
                <w:rFonts w:ascii="Arial" w:hAnsi="Arial" w:cs="Arial"/>
                <w:color w:val="333333"/>
                <w:kern w:val="0"/>
                <w:szCs w:val="21"/>
              </w:rPr>
            </w:pPr>
            <w:r>
              <w:rPr>
                <w:rFonts w:ascii="Arial" w:hAnsi="Arial" w:cs="Arial"/>
                <w:color w:val="333333"/>
                <w:kern w:val="0"/>
                <w:szCs w:val="21"/>
              </w:rPr>
              <w:t>备注</w:t>
            </w:r>
          </w:p>
        </w:tc>
        <w:tc>
          <w:tcPr>
            <w:tcW w:w="6949" w:type="dxa"/>
            <w:gridSpan w:val="2"/>
          </w:tcPr>
          <w:p>
            <w:pPr>
              <w:pStyle w:val="7"/>
              <w:numPr>
                <w:ilvl w:val="0"/>
                <w:numId w:val="1"/>
              </w:numPr>
              <w:spacing w:before="312" w:beforeLines="100" w:after="312" w:afterLines="100"/>
              <w:ind w:firstLineChars="0"/>
              <w:rPr>
                <w:rFonts w:ascii="Arial" w:hAnsi="Arial" w:cs="Arial"/>
                <w:color w:val="333333"/>
                <w:kern w:val="0"/>
                <w:szCs w:val="21"/>
                <w:u w:val="single"/>
              </w:rPr>
            </w:pPr>
            <w:r>
              <w:rPr>
                <w:rFonts w:ascii="Arial" w:hAnsi="Arial" w:cs="Arial"/>
                <w:color w:val="333333"/>
                <w:kern w:val="0"/>
                <w:szCs w:val="21"/>
                <w:u w:val="single"/>
              </w:rPr>
              <w:t>中国境内光伏发电市场</w:t>
            </w:r>
          </w:p>
          <w:p>
            <w:pPr>
              <w:pStyle w:val="7"/>
              <w:numPr>
                <w:ilvl w:val="0"/>
                <w:numId w:val="2"/>
              </w:numPr>
              <w:ind w:left="777" w:firstLineChars="0"/>
              <w:rPr>
                <w:rFonts w:ascii="Arial" w:hAnsi="Arial" w:cs="Arial"/>
                <w:color w:val="333333"/>
                <w:kern w:val="0"/>
                <w:szCs w:val="21"/>
              </w:rPr>
            </w:pPr>
            <w:r>
              <w:rPr>
                <w:rFonts w:ascii="Arial" w:hAnsi="Arial" w:cs="Arial"/>
                <w:color w:val="333333"/>
                <w:kern w:val="0"/>
                <w:szCs w:val="21"/>
              </w:rPr>
              <w:t>山高金融：【0-5%】</w:t>
            </w:r>
          </w:p>
          <w:p>
            <w:pPr>
              <w:pStyle w:val="7"/>
              <w:numPr>
                <w:ilvl w:val="0"/>
                <w:numId w:val="2"/>
              </w:numPr>
              <w:ind w:left="777" w:firstLineChars="0"/>
              <w:rPr>
                <w:rFonts w:ascii="Arial" w:hAnsi="Arial" w:cs="Arial"/>
                <w:color w:val="333333"/>
                <w:kern w:val="0"/>
                <w:szCs w:val="21"/>
              </w:rPr>
            </w:pPr>
            <w:r>
              <w:rPr>
                <w:rFonts w:ascii="Arial" w:hAnsi="Arial" w:cs="Arial"/>
                <w:color w:val="333333"/>
                <w:kern w:val="0"/>
                <w:szCs w:val="21"/>
              </w:rPr>
              <w:t>北控清洁能源：【0-5%】</w:t>
            </w:r>
          </w:p>
          <w:p>
            <w:pPr>
              <w:pStyle w:val="7"/>
              <w:numPr>
                <w:ilvl w:val="0"/>
                <w:numId w:val="2"/>
              </w:numPr>
              <w:ind w:left="777" w:firstLineChars="0"/>
              <w:rPr>
                <w:rFonts w:ascii="Arial" w:hAnsi="Arial" w:cs="Arial"/>
                <w:color w:val="333333"/>
                <w:kern w:val="0"/>
                <w:szCs w:val="21"/>
              </w:rPr>
            </w:pPr>
            <w:r>
              <w:rPr>
                <w:rFonts w:ascii="Arial" w:hAnsi="Arial" w:cs="Arial"/>
                <w:color w:val="333333"/>
                <w:kern w:val="0"/>
                <w:szCs w:val="21"/>
              </w:rPr>
              <w:t>合计：【0-5%】</w:t>
            </w:r>
          </w:p>
          <w:p>
            <w:pPr>
              <w:pStyle w:val="7"/>
              <w:numPr>
                <w:ilvl w:val="0"/>
                <w:numId w:val="1"/>
              </w:numPr>
              <w:spacing w:before="312" w:beforeLines="100" w:after="312" w:afterLines="100"/>
              <w:ind w:firstLineChars="0"/>
              <w:rPr>
                <w:rFonts w:ascii="Arial" w:hAnsi="Arial" w:cs="Arial"/>
                <w:color w:val="333333"/>
                <w:kern w:val="0"/>
                <w:szCs w:val="21"/>
                <w:u w:val="single"/>
              </w:rPr>
            </w:pPr>
            <w:r>
              <w:rPr>
                <w:rFonts w:ascii="Arial" w:hAnsi="Arial" w:cs="Arial"/>
                <w:color w:val="333333"/>
                <w:kern w:val="0"/>
                <w:szCs w:val="21"/>
                <w:u w:val="single"/>
              </w:rPr>
              <w:t>中国境内</w:t>
            </w:r>
            <w:r>
              <w:rPr>
                <w:rFonts w:hint="eastAsia" w:ascii="Arial" w:hAnsi="Arial" w:cs="Arial"/>
                <w:bCs/>
                <w:color w:val="333333"/>
                <w:kern w:val="0"/>
                <w:szCs w:val="21"/>
                <w:u w:val="single"/>
              </w:rPr>
              <w:t>光伏电站工程总承包</w:t>
            </w:r>
            <w:r>
              <w:rPr>
                <w:rFonts w:ascii="Arial" w:hAnsi="Arial" w:cs="Arial"/>
                <w:color w:val="333333"/>
                <w:kern w:val="0"/>
                <w:szCs w:val="21"/>
                <w:u w:val="single"/>
              </w:rPr>
              <w:t>市场</w:t>
            </w:r>
          </w:p>
          <w:p>
            <w:pPr>
              <w:pStyle w:val="7"/>
              <w:numPr>
                <w:ilvl w:val="0"/>
                <w:numId w:val="2"/>
              </w:numPr>
              <w:spacing w:after="312" w:afterLines="100"/>
              <w:ind w:left="777" w:firstLineChars="0"/>
              <w:rPr>
                <w:rFonts w:ascii="Arial" w:hAnsi="Arial" w:cs="Arial"/>
                <w:color w:val="333333"/>
                <w:kern w:val="0"/>
                <w:szCs w:val="21"/>
              </w:rPr>
            </w:pPr>
            <w:r>
              <w:rPr>
                <w:rFonts w:ascii="Arial" w:hAnsi="Arial" w:cs="Arial"/>
                <w:color w:val="333333"/>
                <w:kern w:val="0"/>
                <w:szCs w:val="21"/>
              </w:rPr>
              <w:t>北控清洁能源：【0-5%】</w:t>
            </w:r>
          </w:p>
        </w:tc>
      </w:tr>
    </w:tbl>
    <w:p>
      <w:pPr>
        <w:snapToGrid w:val="0"/>
        <w:spacing w:before="312" w:beforeLines="100" w:after="312" w:afterLines="100"/>
        <w:jc w:val="left"/>
        <w:rPr>
          <w:rFonts w:ascii="Arial" w:hAnsi="Arial" w:cs="Arial"/>
          <w:szCs w:val="21"/>
        </w:rPr>
      </w:pPr>
      <w:r>
        <w:rPr>
          <w:rFonts w:ascii="Arial" w:hAnsi="Arial" w:cs="Arial"/>
          <w:szCs w:val="21"/>
        </w:rPr>
        <w:t>注解：</w:t>
      </w:r>
    </w:p>
    <w:p>
      <w:pPr>
        <w:snapToGrid w:val="0"/>
        <w:spacing w:before="312" w:beforeLines="100" w:after="312" w:afterLines="100"/>
        <w:ind w:firstLine="420" w:firstLineChars="200"/>
        <w:jc w:val="left"/>
        <w:rPr>
          <w:rFonts w:ascii="Arial" w:hAnsi="Arial" w:cs="Arial"/>
          <w:szCs w:val="21"/>
        </w:rPr>
      </w:pPr>
      <w:r>
        <w:rPr>
          <w:rFonts w:ascii="Arial" w:hAnsi="Arial" w:cs="Arial"/>
          <w:szCs w:val="21"/>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before="312" w:beforeLines="100" w:after="312" w:afterLines="100"/>
        <w:ind w:firstLine="420" w:firstLineChars="200"/>
        <w:rPr>
          <w:rFonts w:ascii="Arial" w:hAnsi="Arial" w:cs="Arial"/>
          <w:szCs w:val="21"/>
        </w:rPr>
      </w:pPr>
      <w:r>
        <w:rPr>
          <w:rFonts w:ascii="Arial" w:hAnsi="Arial" w:cs="Arial"/>
          <w:szCs w:val="21"/>
        </w:rPr>
        <w:t>2.申报方申请简易案件的理由是基于第4项、第5项时，无须在备注中说明相关市场和市场份额。</w:t>
      </w:r>
    </w:p>
    <w:p>
      <w:pPr>
        <w:spacing w:before="312" w:beforeLines="100" w:after="312" w:afterLines="100"/>
        <w:ind w:firstLine="420" w:firstLineChars="200"/>
        <w:rPr>
          <w:rFonts w:ascii="Arial" w:hAnsi="Arial" w:cs="Arial"/>
          <w:szCs w:val="21"/>
        </w:rPr>
      </w:pPr>
      <w:r>
        <w:rPr>
          <w:rFonts w:ascii="Arial" w:hAnsi="Arial" w:cs="Arial"/>
          <w:szCs w:val="21"/>
        </w:rPr>
        <w:t>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E0E3A9C"/>
    <w:multiLevelType w:val="multilevel"/>
    <w:tmpl w:val="1E0E3A9C"/>
    <w:lvl w:ilvl="0" w:tentative="0">
      <w:start w:val="1"/>
      <w:numFmt w:val="bullet"/>
      <w:lvlText w:val=""/>
      <w:lvlJc w:val="left"/>
      <w:pPr>
        <w:ind w:left="780" w:hanging="420"/>
      </w:pPr>
      <w:rPr>
        <w:rFonts w:hint="default" w:ascii="Wingdings" w:hAnsi="Wingdings"/>
      </w:rPr>
    </w:lvl>
    <w:lvl w:ilvl="1" w:tentative="0">
      <w:start w:val="1"/>
      <w:numFmt w:val="bullet"/>
      <w:lvlText w:val=""/>
      <w:lvlJc w:val="left"/>
      <w:pPr>
        <w:ind w:left="1200" w:hanging="420"/>
      </w:pPr>
      <w:rPr>
        <w:rFonts w:hint="default" w:ascii="Wingdings" w:hAnsi="Wingdings"/>
      </w:rPr>
    </w:lvl>
    <w:lvl w:ilvl="2" w:tentative="0">
      <w:start w:val="1"/>
      <w:numFmt w:val="bullet"/>
      <w:lvlText w:val=""/>
      <w:lvlJc w:val="left"/>
      <w:pPr>
        <w:ind w:left="1620" w:hanging="420"/>
      </w:pPr>
      <w:rPr>
        <w:rFonts w:hint="default" w:ascii="Wingdings" w:hAnsi="Wingdings"/>
      </w:rPr>
    </w:lvl>
    <w:lvl w:ilvl="3" w:tentative="0">
      <w:start w:val="1"/>
      <w:numFmt w:val="bullet"/>
      <w:lvlText w:val=""/>
      <w:lvlJc w:val="left"/>
      <w:pPr>
        <w:ind w:left="2040" w:hanging="420"/>
      </w:pPr>
      <w:rPr>
        <w:rFonts w:hint="default" w:ascii="Wingdings" w:hAnsi="Wingdings"/>
      </w:rPr>
    </w:lvl>
    <w:lvl w:ilvl="4" w:tentative="0">
      <w:start w:val="1"/>
      <w:numFmt w:val="bullet"/>
      <w:lvlText w:val=""/>
      <w:lvlJc w:val="left"/>
      <w:pPr>
        <w:ind w:left="2460" w:hanging="420"/>
      </w:pPr>
      <w:rPr>
        <w:rFonts w:hint="default" w:ascii="Wingdings" w:hAnsi="Wingdings"/>
      </w:rPr>
    </w:lvl>
    <w:lvl w:ilvl="5" w:tentative="0">
      <w:start w:val="1"/>
      <w:numFmt w:val="bullet"/>
      <w:lvlText w:val=""/>
      <w:lvlJc w:val="left"/>
      <w:pPr>
        <w:ind w:left="2880" w:hanging="420"/>
      </w:pPr>
      <w:rPr>
        <w:rFonts w:hint="default" w:ascii="Wingdings" w:hAnsi="Wingdings"/>
      </w:rPr>
    </w:lvl>
    <w:lvl w:ilvl="6" w:tentative="0">
      <w:start w:val="1"/>
      <w:numFmt w:val="bullet"/>
      <w:lvlText w:val=""/>
      <w:lvlJc w:val="left"/>
      <w:pPr>
        <w:ind w:left="3300" w:hanging="420"/>
      </w:pPr>
      <w:rPr>
        <w:rFonts w:hint="default" w:ascii="Wingdings" w:hAnsi="Wingdings"/>
      </w:rPr>
    </w:lvl>
    <w:lvl w:ilvl="7" w:tentative="0">
      <w:start w:val="1"/>
      <w:numFmt w:val="bullet"/>
      <w:lvlText w:val=""/>
      <w:lvlJc w:val="left"/>
      <w:pPr>
        <w:ind w:left="3720" w:hanging="420"/>
      </w:pPr>
      <w:rPr>
        <w:rFonts w:hint="default" w:ascii="Wingdings" w:hAnsi="Wingdings"/>
      </w:rPr>
    </w:lvl>
    <w:lvl w:ilvl="8" w:tentative="0">
      <w:start w:val="1"/>
      <w:numFmt w:val="bullet"/>
      <w:lvlText w:val=""/>
      <w:lvlJc w:val="left"/>
      <w:pPr>
        <w:ind w:left="4140" w:hanging="420"/>
      </w:pPr>
      <w:rPr>
        <w:rFonts w:hint="default" w:ascii="Wingdings" w:hAnsi="Wingdings"/>
      </w:rPr>
    </w:lvl>
  </w:abstractNum>
  <w:abstractNum w:abstractNumId="1">
    <w:nsid w:val="49047179"/>
    <w:multiLevelType w:val="multilevel"/>
    <w:tmpl w:val="49047179"/>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85F74"/>
    <w:rsid w:val="000D7EBA"/>
    <w:rsid w:val="001164CD"/>
    <w:rsid w:val="00155717"/>
    <w:rsid w:val="001837A3"/>
    <w:rsid w:val="00187721"/>
    <w:rsid w:val="002950CF"/>
    <w:rsid w:val="002A21BC"/>
    <w:rsid w:val="00304A8D"/>
    <w:rsid w:val="003C0AEB"/>
    <w:rsid w:val="004978B2"/>
    <w:rsid w:val="004D7303"/>
    <w:rsid w:val="004F7688"/>
    <w:rsid w:val="005157A2"/>
    <w:rsid w:val="005E078E"/>
    <w:rsid w:val="006467D8"/>
    <w:rsid w:val="006A531B"/>
    <w:rsid w:val="006F7693"/>
    <w:rsid w:val="00710140"/>
    <w:rsid w:val="0075038A"/>
    <w:rsid w:val="00787BD3"/>
    <w:rsid w:val="007C0C6D"/>
    <w:rsid w:val="007F2275"/>
    <w:rsid w:val="00854443"/>
    <w:rsid w:val="00915F0F"/>
    <w:rsid w:val="009532DF"/>
    <w:rsid w:val="00997019"/>
    <w:rsid w:val="009A5029"/>
    <w:rsid w:val="009D38D5"/>
    <w:rsid w:val="00A53F26"/>
    <w:rsid w:val="00A8694B"/>
    <w:rsid w:val="00AA0CC5"/>
    <w:rsid w:val="00B16AFE"/>
    <w:rsid w:val="00B65DD5"/>
    <w:rsid w:val="00BD10B6"/>
    <w:rsid w:val="00C07076"/>
    <w:rsid w:val="00CB00DF"/>
    <w:rsid w:val="00CC049A"/>
    <w:rsid w:val="00CC6FE0"/>
    <w:rsid w:val="00D03254"/>
    <w:rsid w:val="00D73C72"/>
    <w:rsid w:val="00E0592B"/>
    <w:rsid w:val="00E10421"/>
    <w:rsid w:val="00E31738"/>
    <w:rsid w:val="00E3737F"/>
    <w:rsid w:val="00E72437"/>
    <w:rsid w:val="00E86786"/>
    <w:rsid w:val="00ED2F80"/>
    <w:rsid w:val="00EF4CC3"/>
    <w:rsid w:val="00F1624E"/>
    <w:rsid w:val="00F31BE4"/>
    <w:rsid w:val="00F32F8A"/>
    <w:rsid w:val="00F810AA"/>
    <w:rsid w:val="00FB43EC"/>
    <w:rsid w:val="00FB6B40"/>
    <w:rsid w:val="2BE81E53"/>
    <w:rsid w:val="66A72366"/>
    <w:rsid w:val="70B573EC"/>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8"/>
    <w:semiHidden/>
    <w:unhideWhenUsed/>
    <w:qFormat/>
    <w:uiPriority w:val="99"/>
    <w:pPr>
      <w:jc w:val="left"/>
    </w:pPr>
  </w:style>
  <w:style w:type="paragraph" w:styleId="3">
    <w:name w:val="annotation subject"/>
    <w:basedOn w:val="2"/>
    <w:next w:val="2"/>
    <w:link w:val="9"/>
    <w:semiHidden/>
    <w:unhideWhenUsed/>
    <w:qFormat/>
    <w:uiPriority w:val="99"/>
    <w:rPr>
      <w:b/>
      <w:bCs/>
    </w:rPr>
  </w:style>
  <w:style w:type="character" w:styleId="6">
    <w:name w:val="annotation reference"/>
    <w:basedOn w:val="5"/>
    <w:semiHidden/>
    <w:unhideWhenUsed/>
    <w:qFormat/>
    <w:uiPriority w:val="99"/>
    <w:rPr>
      <w:sz w:val="21"/>
      <w:szCs w:val="21"/>
    </w:rPr>
  </w:style>
  <w:style w:type="paragraph" w:styleId="7">
    <w:name w:val="List Paragraph"/>
    <w:basedOn w:val="1"/>
    <w:qFormat/>
    <w:uiPriority w:val="34"/>
    <w:pPr>
      <w:ind w:firstLine="420" w:firstLineChars="200"/>
    </w:pPr>
  </w:style>
  <w:style w:type="character" w:customStyle="1" w:styleId="8">
    <w:name w:val="批注文字 字符"/>
    <w:basedOn w:val="5"/>
    <w:link w:val="2"/>
    <w:semiHidden/>
    <w:qFormat/>
    <w:uiPriority w:val="99"/>
    <w:rPr>
      <w:rFonts w:ascii="Calibri" w:hAnsi="Calibri" w:eastAsia="宋体" w:cs="Times New Roman"/>
    </w:rPr>
  </w:style>
  <w:style w:type="character" w:customStyle="1" w:styleId="9">
    <w:name w:val="批注主题 字符"/>
    <w:basedOn w:val="8"/>
    <w:link w:val="3"/>
    <w:semiHidden/>
    <w:uiPriority w:val="99"/>
    <w:rPr>
      <w:rFonts w:ascii="Calibri" w:hAnsi="Calibri" w:eastAsia="宋体" w:cs="Times New Roman"/>
      <w:b/>
      <w:bCs/>
    </w:rPr>
  </w:style>
  <w:style w:type="paragraph" w:customStyle="1" w:styleId="10">
    <w:name w:val="修订1"/>
    <w:hidden/>
    <w:semiHidden/>
    <w:qFormat/>
    <w:uiPriority w:val="99"/>
    <w:rPr>
      <w:rFonts w:ascii="Calibri" w:hAnsi="Calibri" w:eastAsia="宋体" w:cs="Times New Roman"/>
      <w:kern w:val="2"/>
      <w:sz w:val="21"/>
      <w:szCs w:val="22"/>
      <w:lang w:val="en-US" w:eastAsia="zh-CN" w:bidi="ar-SA"/>
    </w:rPr>
  </w:style>
  <w:style w:type="paragraph" w:customStyle="1" w:styleId="11">
    <w:name w:val="Revision"/>
    <w:hidden/>
    <w:semiHidden/>
    <w:qFormat/>
    <w:uiPriority w:val="99"/>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560</Words>
  <Characters>601</Characters>
  <Lines>42</Lines>
  <Paragraphs>38</Paragraphs>
  <TotalTime>7</TotalTime>
  <ScaleCrop>false</ScaleCrop>
  <LinksUpToDate>false</LinksUpToDate>
  <CharactersWithSpaces>1123</CharactersWithSpaces>
  <Application>WPS Office_11.1.0.11365_F1E327BC-269C-435d-A152-05C5408002CA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2018-09-29T02:33:00Z</dcterms:created>
  <dc:creator>陈媚</dc:creator>
  <cp:lastModifiedBy>TY</cp:lastModifiedBy>
  <dcterms:modified xsi:type="dcterms:W3CDTF">2022-03-24T02:56:42Z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2052-11.1.0.11365</vt:lpwstr>
  </property>
  <property fmtid="{D5CDD505-2E9C-101B-9397-08002B2CF9AE}" pid="3" name="ICV">
    <vt:lpwstr>0E61440C0F3449369AFFCB29503AEE48</vt:lpwstr>
  </property>
</Properties>
</file>