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9329A" w14:textId="4C7E8546" w:rsidR="00CB00DF" w:rsidRPr="00CB00DF" w:rsidRDefault="00CB00DF" w:rsidP="00CB00DF">
      <w:pPr>
        <w:snapToGrid w:val="0"/>
        <w:spacing w:before="100" w:beforeAutospacing="1" w:after="100" w:afterAutospacing="1"/>
        <w:jc w:val="left"/>
        <w:rPr>
          <w:rFonts w:ascii="Times New Roman" w:hAnsi="Times New Roman"/>
          <w:b/>
          <w:szCs w:val="21"/>
        </w:rPr>
      </w:pPr>
    </w:p>
    <w:p w14:paraId="2617286C"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61766EFB" w14:textId="77777777" w:rsidR="00CB00DF" w:rsidRDefault="00CB00DF" w:rsidP="00CB00DF">
      <w:pPr>
        <w:spacing w:line="440" w:lineRule="exact"/>
        <w:rPr>
          <w:rFonts w:ascii="黑体" w:eastAsia="黑体" w:hAnsi="Times New Roman"/>
          <w:sz w:val="28"/>
          <w:szCs w:val="28"/>
        </w:rPr>
      </w:pPr>
    </w:p>
    <w:p w14:paraId="178C726C"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12809B52" w14:textId="77777777" w:rsidTr="00CB00DF">
        <w:tc>
          <w:tcPr>
            <w:tcW w:w="1809" w:type="dxa"/>
            <w:shd w:val="clear" w:color="auto" w:fill="D9D9D9"/>
            <w:vAlign w:val="center"/>
          </w:tcPr>
          <w:p w14:paraId="020E478B"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案件名称</w:t>
            </w:r>
          </w:p>
        </w:tc>
        <w:tc>
          <w:tcPr>
            <w:tcW w:w="6949" w:type="dxa"/>
            <w:gridSpan w:val="2"/>
          </w:tcPr>
          <w:p w14:paraId="78DB5CB6" w14:textId="68F24B31" w:rsidR="00CB00DF" w:rsidRPr="00B51F98" w:rsidRDefault="00AF7529"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江苏华鑫永南能源科技有限公司与中国石化天然气有限责任公司等经营者新设合营企业案</w:t>
            </w:r>
          </w:p>
        </w:tc>
      </w:tr>
      <w:tr w:rsidR="00CB00DF" w:rsidRPr="00CB00DF" w14:paraId="2B58D98E" w14:textId="77777777" w:rsidTr="00CB00DF">
        <w:trPr>
          <w:trHeight w:val="993"/>
        </w:trPr>
        <w:tc>
          <w:tcPr>
            <w:tcW w:w="1809" w:type="dxa"/>
            <w:shd w:val="clear" w:color="auto" w:fill="D9D9D9"/>
            <w:vAlign w:val="center"/>
          </w:tcPr>
          <w:p w14:paraId="6AD3643D" w14:textId="77777777" w:rsidR="00F1624E"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交易概况</w:t>
            </w:r>
          </w:p>
          <w:p w14:paraId="4AB974FE"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（限200字内）</w:t>
            </w:r>
          </w:p>
        </w:tc>
        <w:tc>
          <w:tcPr>
            <w:tcW w:w="6949" w:type="dxa"/>
            <w:gridSpan w:val="2"/>
          </w:tcPr>
          <w:p w14:paraId="47C9FF6D" w14:textId="1B0D354B" w:rsidR="00CB00DF" w:rsidRPr="00B51F98" w:rsidRDefault="00B51F98"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本交易系</w:t>
            </w:r>
            <w:r w:rsidR="00AF7529" w:rsidRPr="00B51F98">
              <w:rPr>
                <w:rFonts w:ascii="仿宋" w:eastAsia="仿宋" w:hAnsi="仿宋" w:cs="宋体" w:hint="eastAsia"/>
                <w:color w:val="333333"/>
                <w:kern w:val="0"/>
                <w:sz w:val="28"/>
                <w:szCs w:val="28"/>
                <w:bdr w:val="none" w:sz="0" w:space="0" w:color="auto" w:frame="1"/>
              </w:rPr>
              <w:t>江苏华鑫永南能源科技有限公司（下称“</w:t>
            </w:r>
            <w:r w:rsidR="00AF7529" w:rsidRPr="00B51F98">
              <w:rPr>
                <w:rFonts w:ascii="仿宋" w:eastAsia="仿宋" w:hAnsi="仿宋" w:cs="宋体" w:hint="eastAsia"/>
                <w:b/>
                <w:bCs/>
                <w:color w:val="333333"/>
                <w:kern w:val="0"/>
                <w:sz w:val="28"/>
                <w:szCs w:val="28"/>
                <w:bdr w:val="none" w:sz="0" w:space="0" w:color="auto" w:frame="1"/>
              </w:rPr>
              <w:t>华鑫永南</w:t>
            </w:r>
            <w:r w:rsidR="00AF7529" w:rsidRPr="00B51F98">
              <w:rPr>
                <w:rFonts w:ascii="仿宋" w:eastAsia="仿宋" w:hAnsi="仿宋" w:cs="宋体" w:hint="eastAsia"/>
                <w:color w:val="333333"/>
                <w:kern w:val="0"/>
                <w:sz w:val="28"/>
                <w:szCs w:val="28"/>
                <w:bdr w:val="none" w:sz="0" w:space="0" w:color="auto" w:frame="1"/>
              </w:rPr>
              <w:t>”）、中国石化天然气有限责任公司（下称“</w:t>
            </w:r>
            <w:r w:rsidR="00AF7529" w:rsidRPr="00B51F98">
              <w:rPr>
                <w:rFonts w:ascii="仿宋" w:eastAsia="仿宋" w:hAnsi="仿宋" w:cs="宋体" w:hint="eastAsia"/>
                <w:b/>
                <w:bCs/>
                <w:color w:val="333333"/>
                <w:kern w:val="0"/>
                <w:sz w:val="28"/>
                <w:szCs w:val="28"/>
                <w:bdr w:val="none" w:sz="0" w:space="0" w:color="auto" w:frame="1"/>
              </w:rPr>
              <w:t>中石化天然气</w:t>
            </w:r>
            <w:r w:rsidR="00AF7529" w:rsidRPr="00B51F98">
              <w:rPr>
                <w:rFonts w:ascii="仿宋" w:eastAsia="仿宋" w:hAnsi="仿宋" w:cs="宋体" w:hint="eastAsia"/>
                <w:color w:val="333333"/>
                <w:kern w:val="0"/>
                <w:sz w:val="28"/>
                <w:szCs w:val="28"/>
                <w:bdr w:val="none" w:sz="0" w:space="0" w:color="auto" w:frame="1"/>
              </w:rPr>
              <w:t>”）、江苏苏城能源有限公司、张家港市金城投资发展有限公司共同</w:t>
            </w:r>
            <w:r w:rsidRPr="00B51F98">
              <w:rPr>
                <w:rFonts w:ascii="仿宋" w:eastAsia="仿宋" w:hAnsi="仿宋" w:cs="宋体" w:hint="eastAsia"/>
                <w:color w:val="333333"/>
                <w:kern w:val="0"/>
                <w:sz w:val="28"/>
                <w:szCs w:val="28"/>
                <w:bdr w:val="none" w:sz="0" w:space="0" w:color="auto" w:frame="1"/>
              </w:rPr>
              <w:t>出资</w:t>
            </w:r>
            <w:r w:rsidR="00AF7529" w:rsidRPr="00B51F98">
              <w:rPr>
                <w:rFonts w:ascii="仿宋" w:eastAsia="仿宋" w:hAnsi="仿宋" w:cs="宋体" w:hint="eastAsia"/>
                <w:color w:val="333333"/>
                <w:kern w:val="0"/>
                <w:sz w:val="28"/>
                <w:szCs w:val="28"/>
                <w:bdr w:val="none" w:sz="0" w:space="0" w:color="auto" w:frame="1"/>
              </w:rPr>
              <w:t>设立合营企业。</w:t>
            </w:r>
            <w:r w:rsidRPr="00B51F98">
              <w:rPr>
                <w:rFonts w:ascii="仿宋" w:eastAsia="仿宋" w:hAnsi="仿宋" w:cs="宋体" w:hint="eastAsia"/>
                <w:color w:val="333333"/>
                <w:kern w:val="0"/>
                <w:sz w:val="28"/>
                <w:szCs w:val="28"/>
                <w:bdr w:val="none" w:sz="0" w:space="0" w:color="auto" w:frame="1"/>
              </w:rPr>
              <w:t>合营企业</w:t>
            </w:r>
            <w:r>
              <w:rPr>
                <w:rFonts w:ascii="仿宋" w:eastAsia="仿宋" w:hAnsi="仿宋" w:cs="宋体" w:hint="eastAsia"/>
                <w:color w:val="333333"/>
                <w:kern w:val="0"/>
                <w:sz w:val="28"/>
                <w:szCs w:val="28"/>
                <w:bdr w:val="none" w:sz="0" w:space="0" w:color="auto" w:frame="1"/>
              </w:rPr>
              <w:t>由华鑫永南和中石化天然气共同控制，</w:t>
            </w:r>
            <w:r w:rsidRPr="00B51F98">
              <w:rPr>
                <w:rFonts w:ascii="仿宋" w:eastAsia="仿宋" w:hAnsi="仿宋" w:cs="宋体" w:hint="eastAsia"/>
                <w:color w:val="333333"/>
                <w:kern w:val="0"/>
                <w:sz w:val="28"/>
                <w:szCs w:val="28"/>
                <w:bdr w:val="none" w:sz="0" w:space="0" w:color="auto" w:frame="1"/>
              </w:rPr>
              <w:t>主营业务是L</w:t>
            </w:r>
            <w:r w:rsidRPr="00B51F98">
              <w:rPr>
                <w:rFonts w:ascii="仿宋" w:eastAsia="仿宋" w:hAnsi="仿宋" w:cs="宋体"/>
                <w:color w:val="333333"/>
                <w:kern w:val="0"/>
                <w:sz w:val="28"/>
                <w:szCs w:val="28"/>
                <w:bdr w:val="none" w:sz="0" w:space="0" w:color="auto" w:frame="1"/>
              </w:rPr>
              <w:t>NG</w:t>
            </w:r>
            <w:r w:rsidRPr="00B51F98">
              <w:rPr>
                <w:rFonts w:ascii="仿宋" w:eastAsia="仿宋" w:hAnsi="仿宋" w:cs="宋体" w:hint="eastAsia"/>
                <w:color w:val="333333"/>
                <w:kern w:val="0"/>
                <w:sz w:val="28"/>
                <w:szCs w:val="28"/>
                <w:bdr w:val="none" w:sz="0" w:space="0" w:color="auto" w:frame="1"/>
              </w:rPr>
              <w:t>接收站。</w:t>
            </w:r>
          </w:p>
        </w:tc>
      </w:tr>
      <w:tr w:rsidR="00CB00DF" w:rsidRPr="00CB00DF" w14:paraId="0F33DAF5" w14:textId="77777777" w:rsidTr="00CB00DF">
        <w:trPr>
          <w:trHeight w:val="468"/>
        </w:trPr>
        <w:tc>
          <w:tcPr>
            <w:tcW w:w="1809" w:type="dxa"/>
            <w:vMerge w:val="restart"/>
            <w:shd w:val="clear" w:color="auto" w:fill="D9D9D9"/>
            <w:vAlign w:val="center"/>
          </w:tcPr>
          <w:p w14:paraId="0A9EF814" w14:textId="77777777" w:rsidR="00F1624E"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参与集中的</w:t>
            </w:r>
          </w:p>
          <w:p w14:paraId="0F9FC26D"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经营者简介</w:t>
            </w:r>
          </w:p>
        </w:tc>
        <w:tc>
          <w:tcPr>
            <w:tcW w:w="1796" w:type="dxa"/>
          </w:tcPr>
          <w:p w14:paraId="7EF29B0C" w14:textId="028CB934" w:rsidR="00CB00DF" w:rsidRPr="00B51F98" w:rsidRDefault="00CB00DF"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1、</w:t>
            </w:r>
            <w:r w:rsidR="00AF7529" w:rsidRPr="00B51F98">
              <w:rPr>
                <w:rFonts w:ascii="仿宋" w:eastAsia="仿宋" w:hAnsi="仿宋" w:cs="宋体" w:hint="eastAsia"/>
                <w:color w:val="333333"/>
                <w:kern w:val="0"/>
                <w:sz w:val="28"/>
                <w:szCs w:val="28"/>
                <w:bdr w:val="none" w:sz="0" w:space="0" w:color="auto" w:frame="1"/>
              </w:rPr>
              <w:t>华鑫永南</w:t>
            </w:r>
          </w:p>
        </w:tc>
        <w:tc>
          <w:tcPr>
            <w:tcW w:w="5153" w:type="dxa"/>
          </w:tcPr>
          <w:p w14:paraId="3C331831" w14:textId="2EBBE53E" w:rsidR="00CB00DF" w:rsidRPr="00B51F98" w:rsidRDefault="00B51F98"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华鑫永南于</w:t>
            </w:r>
            <w:r w:rsidR="00AF7529" w:rsidRPr="00B51F98">
              <w:rPr>
                <w:rFonts w:ascii="仿宋" w:eastAsia="仿宋" w:hAnsi="仿宋" w:cs="宋体" w:hint="eastAsia"/>
                <w:color w:val="333333"/>
                <w:kern w:val="0"/>
                <w:sz w:val="28"/>
                <w:szCs w:val="28"/>
                <w:bdr w:val="none" w:sz="0" w:space="0" w:color="auto" w:frame="1"/>
              </w:rPr>
              <w:t>2019年9月11日</w:t>
            </w:r>
            <w:r w:rsidRPr="00B51F98">
              <w:rPr>
                <w:rFonts w:ascii="仿宋" w:eastAsia="仿宋" w:hAnsi="仿宋" w:cs="宋体" w:hint="eastAsia"/>
                <w:color w:val="333333"/>
                <w:kern w:val="0"/>
                <w:sz w:val="28"/>
                <w:szCs w:val="28"/>
                <w:bdr w:val="none" w:sz="0" w:space="0" w:color="auto" w:frame="1"/>
              </w:rPr>
              <w:t>在</w:t>
            </w:r>
            <w:r w:rsidR="00AF7529" w:rsidRPr="00B51F98">
              <w:rPr>
                <w:rFonts w:ascii="仿宋" w:eastAsia="仿宋" w:hAnsi="仿宋" w:cs="宋体" w:hint="eastAsia"/>
                <w:color w:val="333333"/>
                <w:kern w:val="0"/>
                <w:sz w:val="28"/>
                <w:szCs w:val="28"/>
                <w:bdr w:val="none" w:sz="0" w:space="0" w:color="auto" w:frame="1"/>
              </w:rPr>
              <w:t>中国苏州注册成立</w:t>
            </w:r>
            <w:r w:rsidR="00000A95">
              <w:rPr>
                <w:rFonts w:ascii="仿宋" w:eastAsia="仿宋" w:hAnsi="仿宋" w:cs="宋体" w:hint="eastAsia"/>
                <w:color w:val="333333"/>
                <w:kern w:val="0"/>
                <w:sz w:val="28"/>
                <w:szCs w:val="28"/>
                <w:bdr w:val="none" w:sz="0" w:space="0" w:color="auto" w:frame="1"/>
              </w:rPr>
              <w:t>，目前</w:t>
            </w:r>
            <w:r w:rsidR="00000A95" w:rsidRPr="00000A95">
              <w:rPr>
                <w:rFonts w:ascii="仿宋" w:eastAsia="仿宋" w:hAnsi="仿宋" w:cs="宋体" w:hint="eastAsia"/>
                <w:color w:val="333333"/>
                <w:kern w:val="0"/>
                <w:sz w:val="28"/>
                <w:szCs w:val="28"/>
                <w:bdr w:val="none" w:sz="0" w:space="0" w:color="auto" w:frame="1"/>
              </w:rPr>
              <w:t>尚未实际开展业务，未来计划开展能源领域研发与投资，LNG接收站项目及相关业务。</w:t>
            </w:r>
          </w:p>
        </w:tc>
      </w:tr>
      <w:tr w:rsidR="00CB00DF" w:rsidRPr="00CB00DF" w14:paraId="40122544" w14:textId="77777777" w:rsidTr="00CB00DF">
        <w:trPr>
          <w:trHeight w:val="404"/>
        </w:trPr>
        <w:tc>
          <w:tcPr>
            <w:tcW w:w="1809" w:type="dxa"/>
            <w:vMerge/>
            <w:shd w:val="clear" w:color="auto" w:fill="D9D9D9"/>
            <w:vAlign w:val="center"/>
          </w:tcPr>
          <w:p w14:paraId="5363A399"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1796" w:type="dxa"/>
          </w:tcPr>
          <w:p w14:paraId="30880012" w14:textId="67AC3652" w:rsidR="00CB00DF" w:rsidRPr="00B51F98" w:rsidRDefault="00CB00DF"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2、</w:t>
            </w:r>
            <w:r w:rsidR="00AF7529" w:rsidRPr="00B51F98">
              <w:rPr>
                <w:rFonts w:ascii="仿宋" w:eastAsia="仿宋" w:hAnsi="仿宋" w:cs="宋体" w:hint="eastAsia"/>
                <w:color w:val="333333"/>
                <w:kern w:val="0"/>
                <w:sz w:val="28"/>
                <w:szCs w:val="28"/>
                <w:bdr w:val="none" w:sz="0" w:space="0" w:color="auto" w:frame="1"/>
              </w:rPr>
              <w:t>中石化天然气</w:t>
            </w:r>
          </w:p>
        </w:tc>
        <w:tc>
          <w:tcPr>
            <w:tcW w:w="5153" w:type="dxa"/>
          </w:tcPr>
          <w:p w14:paraId="6C77840F" w14:textId="28F94B82" w:rsidR="00CB00DF" w:rsidRPr="00B51F98" w:rsidRDefault="00B51F98" w:rsidP="00000A95">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中石化天然气于</w:t>
            </w:r>
            <w:r w:rsidRPr="00B51F98">
              <w:rPr>
                <w:rFonts w:ascii="仿宋" w:eastAsia="仿宋" w:hAnsi="仿宋" w:cs="宋体"/>
                <w:color w:val="333333"/>
                <w:kern w:val="0"/>
                <w:sz w:val="28"/>
                <w:szCs w:val="28"/>
                <w:bdr w:val="none" w:sz="0" w:space="0" w:color="auto" w:frame="1"/>
              </w:rPr>
              <w:t>2009</w:t>
            </w:r>
            <w:r w:rsidRPr="00B51F98">
              <w:rPr>
                <w:rFonts w:ascii="仿宋" w:eastAsia="仿宋" w:hAnsi="仿宋" w:cs="宋体" w:hint="eastAsia"/>
                <w:color w:val="333333"/>
                <w:kern w:val="0"/>
                <w:sz w:val="28"/>
                <w:szCs w:val="28"/>
                <w:bdr w:val="none" w:sz="0" w:space="0" w:color="auto" w:frame="1"/>
              </w:rPr>
              <w:t>年</w:t>
            </w:r>
            <w:r w:rsidRPr="00B51F98">
              <w:rPr>
                <w:rFonts w:ascii="仿宋" w:eastAsia="仿宋" w:hAnsi="仿宋" w:cs="宋体"/>
                <w:color w:val="333333"/>
                <w:kern w:val="0"/>
                <w:sz w:val="28"/>
                <w:szCs w:val="28"/>
                <w:bdr w:val="none" w:sz="0" w:space="0" w:color="auto" w:frame="1"/>
              </w:rPr>
              <w:t>12</w:t>
            </w:r>
            <w:r w:rsidRPr="00B51F98">
              <w:rPr>
                <w:rFonts w:ascii="仿宋" w:eastAsia="仿宋" w:hAnsi="仿宋" w:cs="宋体" w:hint="eastAsia"/>
                <w:color w:val="333333"/>
                <w:kern w:val="0"/>
                <w:sz w:val="28"/>
                <w:szCs w:val="28"/>
                <w:bdr w:val="none" w:sz="0" w:space="0" w:color="auto" w:frame="1"/>
              </w:rPr>
              <w:t>月</w:t>
            </w:r>
            <w:r w:rsidRPr="00B51F98">
              <w:rPr>
                <w:rFonts w:ascii="仿宋" w:eastAsia="仿宋" w:hAnsi="仿宋" w:cs="宋体"/>
                <w:color w:val="333333"/>
                <w:kern w:val="0"/>
                <w:sz w:val="28"/>
                <w:szCs w:val="28"/>
                <w:bdr w:val="none" w:sz="0" w:space="0" w:color="auto" w:frame="1"/>
              </w:rPr>
              <w:t>1</w:t>
            </w:r>
            <w:r w:rsidRPr="00B51F98">
              <w:rPr>
                <w:rFonts w:ascii="仿宋" w:eastAsia="仿宋" w:hAnsi="仿宋" w:cs="宋体" w:hint="eastAsia"/>
                <w:color w:val="333333"/>
                <w:kern w:val="0"/>
                <w:sz w:val="28"/>
                <w:szCs w:val="28"/>
                <w:bdr w:val="none" w:sz="0" w:space="0" w:color="auto" w:frame="1"/>
              </w:rPr>
              <w:t>日在中国北京</w:t>
            </w:r>
            <w:r w:rsidRPr="00B51F98">
              <w:rPr>
                <w:rFonts w:ascii="仿宋" w:eastAsia="仿宋" w:hAnsi="仿宋" w:cs="宋体"/>
                <w:color w:val="333333"/>
                <w:kern w:val="0"/>
                <w:sz w:val="28"/>
                <w:szCs w:val="28"/>
                <w:bdr w:val="none" w:sz="0" w:space="0" w:color="auto" w:frame="1"/>
              </w:rPr>
              <w:t>注册成立</w:t>
            </w:r>
            <w:r w:rsidR="00000A95">
              <w:rPr>
                <w:rFonts w:ascii="仿宋" w:eastAsia="仿宋" w:hAnsi="仿宋" w:cs="宋体" w:hint="eastAsia"/>
                <w:color w:val="333333"/>
                <w:kern w:val="0"/>
                <w:sz w:val="28"/>
                <w:szCs w:val="28"/>
                <w:bdr w:val="none" w:sz="0" w:space="0" w:color="auto" w:frame="1"/>
              </w:rPr>
              <w:t>，主要</w:t>
            </w:r>
            <w:r w:rsidR="00315B88">
              <w:rPr>
                <w:rFonts w:ascii="仿宋" w:eastAsia="仿宋" w:hAnsi="仿宋" w:cs="宋体" w:hint="eastAsia"/>
                <w:color w:val="333333"/>
                <w:kern w:val="0"/>
                <w:sz w:val="28"/>
                <w:szCs w:val="28"/>
                <w:bdr w:val="none" w:sz="0" w:space="0" w:color="auto" w:frame="1"/>
              </w:rPr>
              <w:t>从事</w:t>
            </w:r>
            <w:r w:rsidR="00000A95" w:rsidRPr="00000A95">
              <w:rPr>
                <w:rFonts w:ascii="仿宋" w:eastAsia="仿宋" w:hAnsi="仿宋" w:cs="宋体" w:hint="eastAsia"/>
                <w:color w:val="333333"/>
                <w:kern w:val="0"/>
                <w:sz w:val="28"/>
                <w:szCs w:val="28"/>
                <w:bdr w:val="none" w:sz="0" w:space="0" w:color="auto" w:frame="1"/>
              </w:rPr>
              <w:t>天然气管道、LNG接收站、储气库等储运设施建设与运行管理、天然气销售、天然气业务合资合作业务</w:t>
            </w:r>
            <w:r w:rsidR="00315B88">
              <w:rPr>
                <w:rFonts w:ascii="仿宋" w:eastAsia="仿宋" w:hAnsi="仿宋" w:cs="宋体" w:hint="eastAsia"/>
                <w:color w:val="333333"/>
                <w:kern w:val="0"/>
                <w:sz w:val="28"/>
                <w:szCs w:val="28"/>
                <w:bdr w:val="none" w:sz="0" w:space="0" w:color="auto" w:frame="1"/>
              </w:rPr>
              <w:t>。</w:t>
            </w:r>
          </w:p>
        </w:tc>
      </w:tr>
      <w:tr w:rsidR="00CB00DF" w:rsidRPr="00CB00DF" w14:paraId="7B320205" w14:textId="77777777" w:rsidTr="00CB00DF">
        <w:trPr>
          <w:trHeight w:val="279"/>
        </w:trPr>
        <w:tc>
          <w:tcPr>
            <w:tcW w:w="1809" w:type="dxa"/>
            <w:vMerge w:val="restart"/>
            <w:shd w:val="clear" w:color="auto" w:fill="D9D9D9"/>
            <w:vAlign w:val="center"/>
          </w:tcPr>
          <w:p w14:paraId="489513F1"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简易案件理由（可以单选，也可以多选）</w:t>
            </w:r>
          </w:p>
        </w:tc>
        <w:tc>
          <w:tcPr>
            <w:tcW w:w="6949" w:type="dxa"/>
            <w:gridSpan w:val="2"/>
          </w:tcPr>
          <w:p w14:paraId="1A2AE8CF" w14:textId="5487BC9D" w:rsidR="00CB00DF" w:rsidRPr="00B51F98" w:rsidRDefault="00AF7529" w:rsidP="006908A4">
            <w:pPr>
              <w:spacing w:line="500" w:lineRule="exact"/>
              <w:rPr>
                <w:rFonts w:ascii="仿宋" w:eastAsia="仿宋" w:hAnsi="仿宋" w:cs="宋体"/>
                <w:color w:val="333333"/>
                <w:kern w:val="0"/>
                <w:sz w:val="28"/>
                <w:szCs w:val="28"/>
                <w:bdr w:val="none" w:sz="0" w:space="0" w:color="auto" w:frame="1"/>
              </w:rPr>
            </w:pPr>
            <w:r w:rsidRPr="00B51F98">
              <w:rPr>
                <w:rFonts w:ascii="仿宋_GB2312" w:eastAsia="仿宋_GB2312" w:hAnsi="Times New Roman"/>
                <w:kern w:val="0"/>
                <w:sz w:val="28"/>
                <w:szCs w:val="28"/>
              </w:rPr>
              <w:sym w:font="Wingdings 2" w:char="F052"/>
            </w:r>
            <w:r w:rsidRPr="00B51F98">
              <w:rPr>
                <w:rFonts w:ascii="仿宋" w:eastAsia="仿宋" w:hAnsi="仿宋" w:cs="宋体" w:hint="eastAsia"/>
                <w:color w:val="333333"/>
                <w:kern w:val="0"/>
                <w:sz w:val="28"/>
                <w:szCs w:val="28"/>
                <w:bdr w:val="none" w:sz="0" w:space="0" w:color="auto" w:frame="1"/>
              </w:rPr>
              <w:t xml:space="preserve"> </w:t>
            </w:r>
            <w:r w:rsidR="00CB00DF" w:rsidRPr="00B51F98">
              <w:rPr>
                <w:rFonts w:ascii="仿宋" w:eastAsia="仿宋" w:hAnsi="仿宋" w:cs="宋体" w:hint="eastAsia"/>
                <w:color w:val="333333"/>
                <w:kern w:val="0"/>
                <w:sz w:val="28"/>
                <w:szCs w:val="28"/>
                <w:bdr w:val="none" w:sz="0" w:space="0" w:color="auto" w:frame="1"/>
              </w:rPr>
              <w:t>1.在同一相关市场，所有参与集中的经营者所占市场份额之和小于15%。</w:t>
            </w:r>
          </w:p>
        </w:tc>
      </w:tr>
      <w:tr w:rsidR="00CB00DF" w:rsidRPr="00CB00DF" w14:paraId="34A30AA1" w14:textId="77777777" w:rsidTr="00CB00DF">
        <w:trPr>
          <w:trHeight w:val="330"/>
        </w:trPr>
        <w:tc>
          <w:tcPr>
            <w:tcW w:w="1809" w:type="dxa"/>
            <w:vMerge/>
            <w:shd w:val="clear" w:color="auto" w:fill="D9D9D9"/>
            <w:vAlign w:val="center"/>
          </w:tcPr>
          <w:p w14:paraId="48847C31"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6949" w:type="dxa"/>
            <w:gridSpan w:val="2"/>
          </w:tcPr>
          <w:p w14:paraId="1D9D3FBD" w14:textId="3CF92C1D" w:rsidR="00CB00DF" w:rsidRPr="00B51F98" w:rsidRDefault="00AF7529" w:rsidP="006908A4">
            <w:pPr>
              <w:spacing w:line="500" w:lineRule="exact"/>
              <w:rPr>
                <w:rFonts w:ascii="仿宋" w:eastAsia="仿宋" w:hAnsi="仿宋" w:cs="宋体"/>
                <w:color w:val="333333"/>
                <w:kern w:val="0"/>
                <w:sz w:val="28"/>
                <w:szCs w:val="28"/>
                <w:bdr w:val="none" w:sz="0" w:space="0" w:color="auto" w:frame="1"/>
              </w:rPr>
            </w:pPr>
            <w:r w:rsidRPr="00B51F98">
              <w:rPr>
                <w:rFonts w:ascii="仿宋_GB2312" w:eastAsia="仿宋_GB2312" w:hAnsi="Times New Roman"/>
                <w:kern w:val="0"/>
                <w:sz w:val="28"/>
                <w:szCs w:val="28"/>
              </w:rPr>
              <w:sym w:font="Wingdings 2" w:char="F052"/>
            </w:r>
            <w:r w:rsidRPr="00B51F98">
              <w:rPr>
                <w:rFonts w:ascii="仿宋" w:eastAsia="仿宋" w:hAnsi="仿宋" w:cs="宋体" w:hint="eastAsia"/>
                <w:color w:val="333333"/>
                <w:kern w:val="0"/>
                <w:sz w:val="28"/>
                <w:szCs w:val="28"/>
                <w:bdr w:val="none" w:sz="0" w:space="0" w:color="auto" w:frame="1"/>
              </w:rPr>
              <w:t xml:space="preserve"> </w:t>
            </w:r>
            <w:r w:rsidR="00CB00DF" w:rsidRPr="00B51F98">
              <w:rPr>
                <w:rFonts w:ascii="仿宋" w:eastAsia="仿宋" w:hAnsi="仿宋" w:cs="宋体" w:hint="eastAsia"/>
                <w:color w:val="333333"/>
                <w:kern w:val="0"/>
                <w:sz w:val="28"/>
                <w:szCs w:val="28"/>
                <w:bdr w:val="none" w:sz="0" w:space="0" w:color="auto" w:frame="1"/>
              </w:rPr>
              <w:t>2.存在上下游关系的参与集中的经营者，在上下游市场所占的市场份额均小于25%。</w:t>
            </w:r>
          </w:p>
        </w:tc>
      </w:tr>
      <w:tr w:rsidR="00CB00DF" w:rsidRPr="00CB00DF" w14:paraId="31982BEC" w14:textId="77777777" w:rsidTr="00CB00DF">
        <w:trPr>
          <w:trHeight w:val="285"/>
        </w:trPr>
        <w:tc>
          <w:tcPr>
            <w:tcW w:w="1809" w:type="dxa"/>
            <w:vMerge/>
            <w:shd w:val="clear" w:color="auto" w:fill="D9D9D9"/>
            <w:vAlign w:val="center"/>
          </w:tcPr>
          <w:p w14:paraId="6DDB9B93"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6949" w:type="dxa"/>
            <w:gridSpan w:val="2"/>
          </w:tcPr>
          <w:p w14:paraId="1CEC557C" w14:textId="77777777" w:rsidR="00CB00DF" w:rsidRPr="00B51F98" w:rsidRDefault="00CB00DF"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□3.不在同一相关市场、也不存在上下游关系的参与集中的经营者，在与交易有关的每个市场所占的份额均小于25%。</w:t>
            </w:r>
          </w:p>
        </w:tc>
      </w:tr>
      <w:tr w:rsidR="00CB00DF" w:rsidRPr="00CB00DF" w14:paraId="1992C1B5" w14:textId="77777777" w:rsidTr="00CB00DF">
        <w:trPr>
          <w:trHeight w:val="870"/>
        </w:trPr>
        <w:tc>
          <w:tcPr>
            <w:tcW w:w="1809" w:type="dxa"/>
            <w:vMerge/>
            <w:shd w:val="clear" w:color="auto" w:fill="D9D9D9"/>
            <w:vAlign w:val="center"/>
          </w:tcPr>
          <w:p w14:paraId="35D9C737"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6949" w:type="dxa"/>
            <w:gridSpan w:val="2"/>
          </w:tcPr>
          <w:p w14:paraId="7EBC5195" w14:textId="77777777" w:rsidR="00CB00DF" w:rsidRPr="00B51F98" w:rsidRDefault="00CB00DF"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□4.参与集中的经营者在中国境外设立合营企业，合营企业不在中国境内从事经济活动。</w:t>
            </w:r>
          </w:p>
        </w:tc>
      </w:tr>
      <w:tr w:rsidR="00CB00DF" w:rsidRPr="00CB00DF" w14:paraId="62A1FB46" w14:textId="77777777" w:rsidTr="00CB00DF">
        <w:trPr>
          <w:trHeight w:val="264"/>
        </w:trPr>
        <w:tc>
          <w:tcPr>
            <w:tcW w:w="1809" w:type="dxa"/>
            <w:vMerge/>
            <w:shd w:val="clear" w:color="auto" w:fill="D9D9D9"/>
            <w:vAlign w:val="center"/>
          </w:tcPr>
          <w:p w14:paraId="2E1E0AE8"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6949" w:type="dxa"/>
            <w:gridSpan w:val="2"/>
          </w:tcPr>
          <w:p w14:paraId="51952B11" w14:textId="77777777" w:rsidR="00CB00DF" w:rsidRPr="00B51F98" w:rsidRDefault="00CB00DF"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□5.参与集中的经营者收购境外企业股权或资产的，该境外企业不在中国境内从事经济活动。</w:t>
            </w:r>
          </w:p>
        </w:tc>
      </w:tr>
      <w:tr w:rsidR="00CB00DF" w:rsidRPr="00CB00DF" w14:paraId="7CCDBA64" w14:textId="77777777" w:rsidTr="00CB00DF">
        <w:trPr>
          <w:trHeight w:val="345"/>
        </w:trPr>
        <w:tc>
          <w:tcPr>
            <w:tcW w:w="1809" w:type="dxa"/>
            <w:vMerge/>
            <w:shd w:val="clear" w:color="auto" w:fill="D9D9D9"/>
            <w:vAlign w:val="center"/>
          </w:tcPr>
          <w:p w14:paraId="7B318CEF"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6949" w:type="dxa"/>
            <w:gridSpan w:val="2"/>
          </w:tcPr>
          <w:p w14:paraId="36F8AB3B" w14:textId="77777777" w:rsidR="00CB00DF" w:rsidRPr="00B51F98" w:rsidRDefault="00CB00DF"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□6.由两个以上的经营者共同控制的合营企业，通过集中被其中一个或一个以上经营者控制。</w:t>
            </w:r>
          </w:p>
        </w:tc>
      </w:tr>
      <w:tr w:rsidR="00CB00DF" w:rsidRPr="00CB00DF" w14:paraId="3F954193" w14:textId="77777777" w:rsidTr="00CB00DF">
        <w:tc>
          <w:tcPr>
            <w:tcW w:w="1809" w:type="dxa"/>
            <w:shd w:val="clear" w:color="auto" w:fill="D9D9D9"/>
            <w:vAlign w:val="center"/>
          </w:tcPr>
          <w:p w14:paraId="7B7484DD"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备注</w:t>
            </w:r>
          </w:p>
        </w:tc>
        <w:tc>
          <w:tcPr>
            <w:tcW w:w="6949" w:type="dxa"/>
            <w:gridSpan w:val="2"/>
          </w:tcPr>
          <w:p w14:paraId="5AEFE90B" w14:textId="797FD860" w:rsidR="00B51F98" w:rsidRDefault="00B51F98" w:rsidP="00B51F98">
            <w:pPr>
              <w:spacing w:line="500" w:lineRule="exact"/>
              <w:rPr>
                <w:rFonts w:ascii="仿宋_GB2312" w:eastAsia="仿宋_GB2312" w:hAnsi="Times New Roman"/>
                <w:b/>
                <w:bCs/>
                <w:sz w:val="28"/>
                <w:szCs w:val="28"/>
              </w:rPr>
            </w:pPr>
            <w:r w:rsidRPr="00B51F98">
              <w:rPr>
                <w:rFonts w:ascii="仿宋_GB2312" w:eastAsia="仿宋_GB2312" w:hAnsi="Times New Roman" w:hint="eastAsia"/>
                <w:b/>
                <w:bCs/>
                <w:sz w:val="28"/>
                <w:szCs w:val="28"/>
              </w:rPr>
              <w:t>相关市场：</w:t>
            </w:r>
          </w:p>
          <w:p w14:paraId="19F16B2C" w14:textId="224A2A6F" w:rsidR="00FF689A" w:rsidRDefault="00FF689A" w:rsidP="00B51F98">
            <w:pPr>
              <w:spacing w:line="500" w:lineRule="exact"/>
              <w:rPr>
                <w:rFonts w:ascii="仿宋_GB2312" w:eastAsia="仿宋_GB2312" w:hAnsi="Times New Roman"/>
                <w:sz w:val="28"/>
                <w:szCs w:val="28"/>
              </w:rPr>
            </w:pPr>
            <w:r w:rsidRPr="00FF689A">
              <w:rPr>
                <w:rFonts w:ascii="仿宋_GB2312" w:eastAsia="仿宋_GB2312" w:hAnsi="Times New Roman" w:hint="eastAsia"/>
                <w:sz w:val="28"/>
                <w:szCs w:val="28"/>
              </w:rPr>
              <w:t>上游：中国境内LNG接收</w:t>
            </w:r>
            <w:r w:rsidR="00090D66">
              <w:rPr>
                <w:rFonts w:ascii="仿宋_GB2312" w:eastAsia="仿宋_GB2312" w:hAnsi="Times New Roman" w:hint="eastAsia"/>
                <w:sz w:val="28"/>
                <w:szCs w:val="28"/>
              </w:rPr>
              <w:t>服务</w:t>
            </w:r>
            <w:r w:rsidRPr="00FF689A">
              <w:rPr>
                <w:rFonts w:ascii="仿宋_GB2312" w:eastAsia="仿宋_GB2312" w:hAnsi="Times New Roman" w:hint="eastAsia"/>
                <w:sz w:val="28"/>
                <w:szCs w:val="28"/>
              </w:rPr>
              <w:t>市场</w:t>
            </w:r>
            <w:r>
              <w:rPr>
                <w:rFonts w:ascii="仿宋_GB2312" w:eastAsia="仿宋_GB2312" w:hAnsi="Times New Roman" w:hint="eastAsia"/>
                <w:sz w:val="28"/>
                <w:szCs w:val="28"/>
              </w:rPr>
              <w:t>（</w:t>
            </w:r>
            <w:r w:rsidRPr="00FF689A">
              <w:rPr>
                <w:rFonts w:ascii="仿宋_GB2312" w:eastAsia="仿宋_GB2312" w:hAnsi="Times New Roman" w:hint="eastAsia"/>
                <w:sz w:val="28"/>
                <w:szCs w:val="28"/>
              </w:rPr>
              <w:t>中石化天然气、合营企业</w:t>
            </w:r>
            <w:r>
              <w:rPr>
                <w:rFonts w:ascii="仿宋_GB2312" w:eastAsia="仿宋_GB2312" w:hAnsi="Times New Roman" w:hint="eastAsia"/>
                <w:sz w:val="28"/>
                <w:szCs w:val="28"/>
              </w:rPr>
              <w:t>）</w:t>
            </w:r>
          </w:p>
          <w:p w14:paraId="5D1BF4CE" w14:textId="7B35AADC" w:rsidR="001401C2" w:rsidRPr="00FF689A" w:rsidRDefault="00072629" w:rsidP="00B51F98">
            <w:pPr>
              <w:spacing w:line="500" w:lineRule="exact"/>
              <w:rPr>
                <w:rFonts w:ascii="仿宋_GB2312" w:eastAsia="仿宋_GB2312" w:hAnsi="Times New Roman"/>
                <w:sz w:val="28"/>
                <w:szCs w:val="28"/>
              </w:rPr>
            </w:pPr>
            <w:r>
              <w:rPr>
                <w:rFonts w:ascii="仿宋_GB2312" w:eastAsia="仿宋_GB2312" w:hAnsi="Times New Roman" w:hint="eastAsia"/>
                <w:sz w:val="28"/>
                <w:szCs w:val="28"/>
              </w:rPr>
              <w:t>下</w:t>
            </w:r>
            <w:r w:rsidR="001401C2">
              <w:rPr>
                <w:rFonts w:ascii="仿宋_GB2312" w:eastAsia="仿宋_GB2312" w:hAnsi="Times New Roman" w:hint="eastAsia"/>
                <w:sz w:val="28"/>
                <w:szCs w:val="28"/>
              </w:rPr>
              <w:t>游：中国境内天然气进口市场（中石化天然气）</w:t>
            </w:r>
          </w:p>
          <w:p w14:paraId="245C4379" w14:textId="7F2DCBE9" w:rsidR="00FF689A" w:rsidRPr="00072629" w:rsidRDefault="00FF689A" w:rsidP="00B51F98">
            <w:pPr>
              <w:spacing w:line="500" w:lineRule="exact"/>
              <w:rPr>
                <w:rFonts w:ascii="仿宋_GB2312" w:eastAsia="仿宋_GB2312" w:hAnsi="Times New Roman"/>
                <w:b/>
                <w:bCs/>
                <w:sz w:val="28"/>
                <w:szCs w:val="28"/>
              </w:rPr>
            </w:pPr>
          </w:p>
          <w:p w14:paraId="1AF49C83" w14:textId="4EB7BAA3" w:rsidR="00FF689A" w:rsidRPr="00B51F98" w:rsidRDefault="00FF689A" w:rsidP="00B51F98">
            <w:pPr>
              <w:spacing w:line="500" w:lineRule="exact"/>
              <w:rPr>
                <w:rFonts w:ascii="仿宋_GB2312" w:eastAsia="仿宋_GB2312" w:hAnsi="Times New Roman"/>
                <w:b/>
                <w:bCs/>
                <w:sz w:val="28"/>
                <w:szCs w:val="28"/>
              </w:rPr>
            </w:pPr>
            <w:r>
              <w:rPr>
                <w:rFonts w:ascii="仿宋_GB2312" w:eastAsia="仿宋_GB2312" w:hAnsi="Times New Roman" w:hint="eastAsia"/>
                <w:b/>
                <w:bCs/>
                <w:sz w:val="28"/>
                <w:szCs w:val="28"/>
              </w:rPr>
              <w:t>市场份额：</w:t>
            </w:r>
          </w:p>
          <w:p w14:paraId="40CC329F" w14:textId="2E6B6DE8" w:rsidR="00B51F98" w:rsidRPr="00000A95" w:rsidRDefault="00B51F98" w:rsidP="00B51F98">
            <w:pPr>
              <w:numPr>
                <w:ilvl w:val="0"/>
                <w:numId w:val="1"/>
              </w:numPr>
              <w:spacing w:line="500" w:lineRule="exact"/>
              <w:rPr>
                <w:rFonts w:ascii="仿宋_GB2312" w:eastAsia="仿宋_GB2312" w:hAnsi="Times New Roman"/>
                <w:b/>
                <w:bCs/>
                <w:sz w:val="28"/>
                <w:szCs w:val="28"/>
              </w:rPr>
            </w:pPr>
            <w:r w:rsidRPr="00B51F98">
              <w:rPr>
                <w:rFonts w:ascii="仿宋_GB2312" w:eastAsia="仿宋_GB2312" w:hAnsi="Times New Roman" w:hint="eastAsia"/>
                <w:b/>
                <w:bCs/>
                <w:sz w:val="28"/>
                <w:szCs w:val="28"/>
              </w:rPr>
              <w:t>中国</w:t>
            </w:r>
            <w:r w:rsidR="003B2492">
              <w:rPr>
                <w:rFonts w:ascii="仿宋_GB2312" w:eastAsia="仿宋_GB2312" w:hAnsi="Times New Roman" w:hint="eastAsia"/>
                <w:b/>
                <w:bCs/>
                <w:sz w:val="28"/>
                <w:szCs w:val="28"/>
              </w:rPr>
              <w:t>境内</w:t>
            </w:r>
            <w:r w:rsidRPr="00000A95">
              <w:rPr>
                <w:rFonts w:ascii="仿宋_GB2312" w:eastAsia="仿宋_GB2312" w:hAnsi="Times New Roman" w:hint="eastAsia"/>
                <w:b/>
                <w:bCs/>
                <w:sz w:val="28"/>
                <w:szCs w:val="28"/>
              </w:rPr>
              <w:t>L</w:t>
            </w:r>
            <w:r w:rsidRPr="00000A95">
              <w:rPr>
                <w:rFonts w:ascii="仿宋_GB2312" w:eastAsia="仿宋_GB2312" w:hAnsi="Times New Roman"/>
                <w:b/>
                <w:bCs/>
                <w:sz w:val="28"/>
                <w:szCs w:val="28"/>
              </w:rPr>
              <w:t>NG</w:t>
            </w:r>
            <w:r w:rsidRPr="00000A95">
              <w:rPr>
                <w:rFonts w:ascii="仿宋_GB2312" w:eastAsia="仿宋_GB2312" w:hAnsi="Times New Roman" w:hint="eastAsia"/>
                <w:b/>
                <w:bCs/>
                <w:sz w:val="28"/>
                <w:szCs w:val="28"/>
              </w:rPr>
              <w:t>接收</w:t>
            </w:r>
            <w:r w:rsidR="00090D66">
              <w:rPr>
                <w:rFonts w:ascii="仿宋_GB2312" w:eastAsia="仿宋_GB2312" w:hAnsi="Times New Roman" w:hint="eastAsia"/>
                <w:b/>
                <w:bCs/>
                <w:sz w:val="28"/>
                <w:szCs w:val="28"/>
              </w:rPr>
              <w:t>服务</w:t>
            </w:r>
            <w:r w:rsidRPr="00B51F98">
              <w:rPr>
                <w:rFonts w:ascii="仿宋_GB2312" w:eastAsia="仿宋_GB2312" w:hAnsi="Times New Roman" w:hint="eastAsia"/>
                <w:b/>
                <w:bCs/>
                <w:sz w:val="28"/>
                <w:szCs w:val="28"/>
              </w:rPr>
              <w:t>市场</w:t>
            </w:r>
          </w:p>
          <w:tbl>
            <w:tblPr>
              <w:tblW w:w="379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0"/>
              <w:gridCol w:w="1357"/>
              <w:gridCol w:w="1356"/>
            </w:tblGrid>
            <w:tr w:rsidR="00FF689A" w:rsidRPr="00B51F98" w14:paraId="3C312966" w14:textId="77777777" w:rsidTr="006246EF">
              <w:trPr>
                <w:jc w:val="center"/>
              </w:trPr>
              <w:tc>
                <w:tcPr>
                  <w:tcW w:w="2341" w:type="pct"/>
                  <w:tcBorders>
                    <w:top w:val="single" w:sz="4" w:space="0" w:color="000000"/>
                    <w:left w:val="single" w:sz="4" w:space="0" w:color="000000"/>
                    <w:bottom w:val="single" w:sz="4" w:space="0" w:color="000000"/>
                    <w:right w:val="single" w:sz="4" w:space="0" w:color="000000"/>
                  </w:tcBorders>
                  <w:vAlign w:val="center"/>
                </w:tcPr>
                <w:p w14:paraId="393CAAED" w14:textId="0555375E" w:rsidR="00FF689A" w:rsidRPr="00B51F98" w:rsidRDefault="00FF689A" w:rsidP="006246EF">
                  <w:pPr>
                    <w:jc w:val="center"/>
                    <w:rPr>
                      <w:rFonts w:ascii="仿宋_GB2312" w:eastAsia="仿宋_GB2312" w:hAnsi="Times New Roman"/>
                      <w:sz w:val="28"/>
                      <w:szCs w:val="28"/>
                    </w:rPr>
                  </w:pPr>
                  <w:r>
                    <w:rPr>
                      <w:rFonts w:ascii="仿宋_GB2312" w:eastAsia="仿宋_GB2312" w:hAnsi="Times New Roman" w:hint="eastAsia"/>
                      <w:sz w:val="28"/>
                      <w:szCs w:val="28"/>
                    </w:rPr>
                    <w:t>中石化天然气</w:t>
                  </w:r>
                </w:p>
              </w:tc>
              <w:tc>
                <w:tcPr>
                  <w:tcW w:w="1330" w:type="pct"/>
                  <w:tcBorders>
                    <w:top w:val="single" w:sz="4" w:space="0" w:color="000000"/>
                    <w:left w:val="single" w:sz="4" w:space="0" w:color="000000"/>
                    <w:bottom w:val="single" w:sz="4" w:space="0" w:color="000000"/>
                    <w:right w:val="single" w:sz="4" w:space="0" w:color="000000"/>
                  </w:tcBorders>
                  <w:vAlign w:val="center"/>
                  <w:hideMark/>
                </w:tcPr>
                <w:p w14:paraId="2D581731" w14:textId="7D55CE1E" w:rsidR="00FF689A" w:rsidRPr="00B51F98" w:rsidRDefault="00FF689A" w:rsidP="006246EF">
                  <w:pPr>
                    <w:jc w:val="center"/>
                    <w:rPr>
                      <w:rFonts w:ascii="仿宋_GB2312" w:eastAsia="仿宋_GB2312" w:hAnsi="Times New Roman"/>
                      <w:sz w:val="28"/>
                      <w:szCs w:val="28"/>
                    </w:rPr>
                  </w:pPr>
                  <w:r w:rsidRPr="00B51F98">
                    <w:rPr>
                      <w:rFonts w:ascii="仿宋_GB2312" w:eastAsia="仿宋_GB2312" w:hAnsi="Times New Roman" w:hint="eastAsia"/>
                      <w:sz w:val="28"/>
                      <w:szCs w:val="28"/>
                    </w:rPr>
                    <w:t>合营企业</w:t>
                  </w:r>
                  <w:r w:rsidR="006246EF">
                    <w:rPr>
                      <w:rFonts w:ascii="仿宋_GB2312" w:eastAsia="仿宋_GB2312" w:hAnsi="Times New Roman" w:hint="eastAsia"/>
                      <w:sz w:val="28"/>
                      <w:szCs w:val="28"/>
                    </w:rPr>
                    <w:t>（预估）</w:t>
                  </w:r>
                </w:p>
              </w:tc>
              <w:tc>
                <w:tcPr>
                  <w:tcW w:w="1330" w:type="pct"/>
                  <w:tcBorders>
                    <w:top w:val="single" w:sz="4" w:space="0" w:color="000000"/>
                    <w:left w:val="single" w:sz="4" w:space="0" w:color="000000"/>
                    <w:bottom w:val="single" w:sz="4" w:space="0" w:color="000000"/>
                    <w:right w:val="single" w:sz="4" w:space="0" w:color="000000"/>
                  </w:tcBorders>
                  <w:vAlign w:val="center"/>
                  <w:hideMark/>
                </w:tcPr>
                <w:p w14:paraId="277E87EC" w14:textId="77777777" w:rsidR="00FF689A" w:rsidRPr="00B51F98" w:rsidRDefault="00FF689A" w:rsidP="006246EF">
                  <w:pPr>
                    <w:jc w:val="center"/>
                    <w:rPr>
                      <w:rFonts w:ascii="仿宋_GB2312" w:eastAsia="仿宋_GB2312" w:hAnsi="Times New Roman"/>
                      <w:sz w:val="28"/>
                      <w:szCs w:val="28"/>
                    </w:rPr>
                  </w:pPr>
                  <w:r w:rsidRPr="00B51F98">
                    <w:rPr>
                      <w:rFonts w:ascii="仿宋_GB2312" w:eastAsia="仿宋_GB2312" w:hAnsi="Times New Roman" w:hint="eastAsia"/>
                      <w:sz w:val="28"/>
                      <w:szCs w:val="28"/>
                    </w:rPr>
                    <w:t>合计</w:t>
                  </w:r>
                </w:p>
              </w:tc>
            </w:tr>
            <w:tr w:rsidR="00FF689A" w:rsidRPr="00B51F98" w14:paraId="471A21BA" w14:textId="77777777" w:rsidTr="00FF689A">
              <w:trPr>
                <w:jc w:val="center"/>
              </w:trPr>
              <w:tc>
                <w:tcPr>
                  <w:tcW w:w="2341" w:type="pct"/>
                  <w:tcBorders>
                    <w:top w:val="single" w:sz="4" w:space="0" w:color="000000"/>
                    <w:left w:val="single" w:sz="4" w:space="0" w:color="000000"/>
                    <w:bottom w:val="single" w:sz="4" w:space="0" w:color="000000"/>
                    <w:right w:val="single" w:sz="4" w:space="0" w:color="000000"/>
                  </w:tcBorders>
                </w:tcPr>
                <w:p w14:paraId="37136A1F" w14:textId="6E0C1FB1" w:rsidR="00FF689A" w:rsidRPr="00B51F98" w:rsidRDefault="00FF689A" w:rsidP="00000A95">
                  <w:pPr>
                    <w:jc w:val="center"/>
                    <w:rPr>
                      <w:rFonts w:ascii="仿宋_GB2312" w:eastAsia="仿宋_GB2312" w:hAnsi="Times New Roman"/>
                      <w:sz w:val="28"/>
                      <w:szCs w:val="28"/>
                    </w:rPr>
                  </w:pPr>
                  <w:r w:rsidRPr="00B51F98">
                    <w:rPr>
                      <w:rFonts w:ascii="仿宋_GB2312" w:eastAsia="仿宋_GB2312" w:hAnsi="Times New Roman" w:hint="eastAsia"/>
                      <w:sz w:val="28"/>
                      <w:szCs w:val="28"/>
                    </w:rPr>
                    <w:t>[1</w:t>
                  </w:r>
                  <w:r w:rsidRPr="00B51F98">
                    <w:rPr>
                      <w:rFonts w:ascii="仿宋_GB2312" w:eastAsia="仿宋_GB2312" w:hAnsi="Times New Roman"/>
                      <w:sz w:val="28"/>
                      <w:szCs w:val="28"/>
                    </w:rPr>
                    <w:t>0-</w:t>
                  </w:r>
                  <w:proofErr w:type="gramStart"/>
                  <w:r w:rsidRPr="00B51F98">
                    <w:rPr>
                      <w:rFonts w:ascii="仿宋_GB2312" w:eastAsia="仿宋_GB2312" w:hAnsi="Times New Roman"/>
                      <w:sz w:val="28"/>
                      <w:szCs w:val="28"/>
                    </w:rPr>
                    <w:t>15</w:t>
                  </w:r>
                  <w:r w:rsidRPr="00B51F98">
                    <w:rPr>
                      <w:rFonts w:ascii="仿宋_GB2312" w:eastAsia="仿宋_GB2312" w:hAnsi="Times New Roman" w:hint="eastAsia"/>
                      <w:sz w:val="28"/>
                      <w:szCs w:val="28"/>
                    </w:rPr>
                    <w:t>]</w:t>
                  </w:r>
                  <w:r w:rsidRPr="00B51F98">
                    <w:rPr>
                      <w:rFonts w:ascii="仿宋_GB2312" w:eastAsia="仿宋_GB2312" w:hAnsi="Times New Roman"/>
                      <w:sz w:val="28"/>
                      <w:szCs w:val="28"/>
                    </w:rPr>
                    <w:t>%</w:t>
                  </w:r>
                  <w:proofErr w:type="gramEnd"/>
                </w:p>
              </w:tc>
              <w:tc>
                <w:tcPr>
                  <w:tcW w:w="1330" w:type="pct"/>
                  <w:tcBorders>
                    <w:top w:val="single" w:sz="4" w:space="0" w:color="000000"/>
                    <w:left w:val="single" w:sz="4" w:space="0" w:color="000000"/>
                    <w:bottom w:val="single" w:sz="4" w:space="0" w:color="000000"/>
                    <w:right w:val="single" w:sz="4" w:space="0" w:color="000000"/>
                  </w:tcBorders>
                  <w:vAlign w:val="center"/>
                  <w:hideMark/>
                </w:tcPr>
                <w:p w14:paraId="44EA5E07" w14:textId="67760E67" w:rsidR="00FF689A" w:rsidRPr="00B51F98" w:rsidRDefault="00FF689A" w:rsidP="00000A95">
                  <w:pPr>
                    <w:jc w:val="center"/>
                    <w:rPr>
                      <w:rFonts w:ascii="仿宋_GB2312" w:eastAsia="仿宋_GB2312" w:hAnsi="Times New Roman"/>
                      <w:sz w:val="28"/>
                      <w:szCs w:val="28"/>
                    </w:rPr>
                  </w:pPr>
                  <w:r w:rsidRPr="00B51F98">
                    <w:rPr>
                      <w:rFonts w:ascii="仿宋_GB2312" w:eastAsia="仿宋_GB2312" w:hAnsi="Times New Roman" w:hint="eastAsia"/>
                      <w:sz w:val="28"/>
                      <w:szCs w:val="28"/>
                    </w:rPr>
                    <w:t>[</w:t>
                  </w:r>
                  <w:r w:rsidRPr="00B51F98">
                    <w:rPr>
                      <w:rFonts w:ascii="仿宋_GB2312" w:eastAsia="仿宋_GB2312" w:hAnsi="Times New Roman"/>
                      <w:sz w:val="28"/>
                      <w:szCs w:val="28"/>
                    </w:rPr>
                    <w:t>0-</w:t>
                  </w:r>
                  <w:proofErr w:type="gramStart"/>
                  <w:r w:rsidRPr="00B51F98">
                    <w:rPr>
                      <w:rFonts w:ascii="仿宋_GB2312" w:eastAsia="仿宋_GB2312" w:hAnsi="Times New Roman"/>
                      <w:sz w:val="28"/>
                      <w:szCs w:val="28"/>
                    </w:rPr>
                    <w:t>5</w:t>
                  </w:r>
                  <w:r w:rsidRPr="00B51F98">
                    <w:rPr>
                      <w:rFonts w:ascii="仿宋_GB2312" w:eastAsia="仿宋_GB2312" w:hAnsi="Times New Roman" w:hint="eastAsia"/>
                      <w:sz w:val="28"/>
                      <w:szCs w:val="28"/>
                    </w:rPr>
                    <w:t>]</w:t>
                  </w:r>
                  <w:r w:rsidRPr="00B51F98">
                    <w:rPr>
                      <w:rFonts w:ascii="仿宋_GB2312" w:eastAsia="仿宋_GB2312" w:hAnsi="Times New Roman"/>
                      <w:sz w:val="28"/>
                      <w:szCs w:val="28"/>
                    </w:rPr>
                    <w:t>%</w:t>
                  </w:r>
                  <w:proofErr w:type="gramEnd"/>
                </w:p>
              </w:tc>
              <w:tc>
                <w:tcPr>
                  <w:tcW w:w="1330" w:type="pct"/>
                  <w:tcBorders>
                    <w:top w:val="single" w:sz="4" w:space="0" w:color="000000"/>
                    <w:left w:val="single" w:sz="4" w:space="0" w:color="000000"/>
                    <w:bottom w:val="single" w:sz="4" w:space="0" w:color="000000"/>
                    <w:right w:val="single" w:sz="4" w:space="0" w:color="000000"/>
                  </w:tcBorders>
                  <w:vAlign w:val="center"/>
                  <w:hideMark/>
                </w:tcPr>
                <w:p w14:paraId="6E261C57" w14:textId="77777777" w:rsidR="00FF689A" w:rsidRPr="00B51F98" w:rsidRDefault="00FF689A" w:rsidP="00000A95">
                  <w:pPr>
                    <w:jc w:val="center"/>
                    <w:rPr>
                      <w:rFonts w:ascii="仿宋_GB2312" w:eastAsia="仿宋_GB2312" w:hAnsi="Times New Roman"/>
                      <w:sz w:val="28"/>
                      <w:szCs w:val="28"/>
                    </w:rPr>
                  </w:pPr>
                  <w:r w:rsidRPr="00B51F98">
                    <w:rPr>
                      <w:rFonts w:ascii="仿宋_GB2312" w:eastAsia="仿宋_GB2312" w:hAnsi="Times New Roman" w:hint="eastAsia"/>
                      <w:sz w:val="28"/>
                      <w:szCs w:val="28"/>
                    </w:rPr>
                    <w:t>[1</w:t>
                  </w:r>
                  <w:r w:rsidRPr="00B51F98">
                    <w:rPr>
                      <w:rFonts w:ascii="仿宋_GB2312" w:eastAsia="仿宋_GB2312" w:hAnsi="Times New Roman"/>
                      <w:sz w:val="28"/>
                      <w:szCs w:val="28"/>
                    </w:rPr>
                    <w:t>0-</w:t>
                  </w:r>
                  <w:proofErr w:type="gramStart"/>
                  <w:r w:rsidRPr="00B51F98">
                    <w:rPr>
                      <w:rFonts w:ascii="仿宋_GB2312" w:eastAsia="仿宋_GB2312" w:hAnsi="Times New Roman"/>
                      <w:sz w:val="28"/>
                      <w:szCs w:val="28"/>
                    </w:rPr>
                    <w:t>15</w:t>
                  </w:r>
                  <w:r w:rsidRPr="00B51F98">
                    <w:rPr>
                      <w:rFonts w:ascii="仿宋_GB2312" w:eastAsia="仿宋_GB2312" w:hAnsi="Times New Roman" w:hint="eastAsia"/>
                      <w:sz w:val="28"/>
                      <w:szCs w:val="28"/>
                    </w:rPr>
                    <w:t>]</w:t>
                  </w:r>
                  <w:r w:rsidRPr="00B51F98">
                    <w:rPr>
                      <w:rFonts w:ascii="仿宋_GB2312" w:eastAsia="仿宋_GB2312" w:hAnsi="Times New Roman"/>
                      <w:sz w:val="28"/>
                      <w:szCs w:val="28"/>
                    </w:rPr>
                    <w:t>%</w:t>
                  </w:r>
                  <w:proofErr w:type="gramEnd"/>
                </w:p>
              </w:tc>
            </w:tr>
          </w:tbl>
          <w:p w14:paraId="72ED05C0" w14:textId="77777777" w:rsidR="00FF689A" w:rsidRDefault="00FF689A" w:rsidP="00B51F98">
            <w:pPr>
              <w:spacing w:line="500" w:lineRule="exact"/>
              <w:rPr>
                <w:rFonts w:ascii="仿宋_GB2312" w:eastAsia="仿宋_GB2312" w:hAnsi="Times New Roman"/>
                <w:sz w:val="28"/>
                <w:szCs w:val="28"/>
              </w:rPr>
            </w:pPr>
          </w:p>
          <w:p w14:paraId="241DAD95" w14:textId="3D04F17F" w:rsidR="001401C2" w:rsidRDefault="001401C2" w:rsidP="00000A95">
            <w:pPr>
              <w:numPr>
                <w:ilvl w:val="0"/>
                <w:numId w:val="1"/>
              </w:numPr>
              <w:spacing w:line="500" w:lineRule="exact"/>
              <w:rPr>
                <w:rFonts w:ascii="仿宋_GB2312" w:eastAsia="仿宋_GB2312" w:hAnsi="Times New Roman"/>
                <w:b/>
                <w:bCs/>
                <w:sz w:val="28"/>
                <w:szCs w:val="28"/>
              </w:rPr>
            </w:pPr>
            <w:r>
              <w:rPr>
                <w:rFonts w:ascii="仿宋_GB2312" w:eastAsia="仿宋_GB2312" w:hAnsi="Times New Roman" w:hint="eastAsia"/>
                <w:b/>
                <w:bCs/>
                <w:sz w:val="28"/>
                <w:szCs w:val="28"/>
              </w:rPr>
              <w:t>中国境内天然气进口市场</w:t>
            </w:r>
          </w:p>
          <w:tbl>
            <w:tblPr>
              <w:tblW w:w="214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3"/>
            </w:tblGrid>
            <w:tr w:rsidR="001401C2" w:rsidRPr="00B51F98" w14:paraId="56B1514D" w14:textId="77777777" w:rsidTr="009013E5">
              <w:trPr>
                <w:jc w:val="center"/>
              </w:trPr>
              <w:tc>
                <w:tcPr>
                  <w:tcW w:w="5000" w:type="pct"/>
                  <w:tcBorders>
                    <w:top w:val="single" w:sz="4" w:space="0" w:color="000000"/>
                    <w:left w:val="single" w:sz="4" w:space="0" w:color="000000"/>
                    <w:bottom w:val="single" w:sz="4" w:space="0" w:color="000000"/>
                    <w:right w:val="single" w:sz="4" w:space="0" w:color="000000"/>
                  </w:tcBorders>
                  <w:vAlign w:val="center"/>
                  <w:hideMark/>
                </w:tcPr>
                <w:p w14:paraId="2D1340FF" w14:textId="77777777" w:rsidR="001401C2" w:rsidRPr="00B51F98" w:rsidRDefault="001401C2" w:rsidP="001401C2">
                  <w:pPr>
                    <w:jc w:val="center"/>
                    <w:rPr>
                      <w:rFonts w:ascii="仿宋_GB2312" w:eastAsia="仿宋_GB2312" w:hAnsi="Times New Roman"/>
                      <w:sz w:val="28"/>
                      <w:szCs w:val="28"/>
                    </w:rPr>
                  </w:pPr>
                  <w:r>
                    <w:rPr>
                      <w:rFonts w:ascii="仿宋_GB2312" w:eastAsia="仿宋_GB2312" w:hAnsi="Times New Roman" w:hint="eastAsia"/>
                      <w:sz w:val="28"/>
                      <w:szCs w:val="28"/>
                    </w:rPr>
                    <w:t>中石化天然气</w:t>
                  </w:r>
                </w:p>
              </w:tc>
            </w:tr>
            <w:tr w:rsidR="001401C2" w:rsidRPr="00B51F98" w14:paraId="5664D357" w14:textId="77777777" w:rsidTr="009013E5">
              <w:trPr>
                <w:jc w:val="center"/>
              </w:trPr>
              <w:tc>
                <w:tcPr>
                  <w:tcW w:w="5000" w:type="pct"/>
                  <w:tcBorders>
                    <w:top w:val="single" w:sz="4" w:space="0" w:color="000000"/>
                    <w:left w:val="single" w:sz="4" w:space="0" w:color="000000"/>
                    <w:bottom w:val="single" w:sz="4" w:space="0" w:color="000000"/>
                    <w:right w:val="single" w:sz="4" w:space="0" w:color="000000"/>
                  </w:tcBorders>
                  <w:vAlign w:val="center"/>
                </w:tcPr>
                <w:p w14:paraId="289E27AD" w14:textId="7E6FBA57" w:rsidR="001401C2" w:rsidRDefault="001401C2" w:rsidP="001401C2">
                  <w:pPr>
                    <w:jc w:val="center"/>
                    <w:rPr>
                      <w:rFonts w:ascii="仿宋_GB2312" w:eastAsia="仿宋_GB2312" w:hAnsi="Times New Roman"/>
                      <w:sz w:val="28"/>
                      <w:szCs w:val="28"/>
                    </w:rPr>
                  </w:pPr>
                  <w:r w:rsidRPr="00B51F98">
                    <w:rPr>
                      <w:rFonts w:ascii="仿宋_GB2312" w:eastAsia="仿宋_GB2312" w:hAnsi="Times New Roman" w:hint="eastAsia"/>
                      <w:sz w:val="28"/>
                      <w:szCs w:val="28"/>
                    </w:rPr>
                    <w:t>[1</w:t>
                  </w:r>
                  <w:r>
                    <w:rPr>
                      <w:rFonts w:ascii="仿宋_GB2312" w:eastAsia="仿宋_GB2312" w:hAnsi="Times New Roman"/>
                      <w:sz w:val="28"/>
                      <w:szCs w:val="28"/>
                    </w:rPr>
                    <w:t>5</w:t>
                  </w:r>
                  <w:r w:rsidRPr="00B51F98">
                    <w:rPr>
                      <w:rFonts w:ascii="仿宋_GB2312" w:eastAsia="仿宋_GB2312" w:hAnsi="Times New Roman"/>
                      <w:sz w:val="28"/>
                      <w:szCs w:val="28"/>
                    </w:rPr>
                    <w:t>-</w:t>
                  </w:r>
                  <w:proofErr w:type="gramStart"/>
                  <w:r>
                    <w:rPr>
                      <w:rFonts w:ascii="仿宋_GB2312" w:eastAsia="仿宋_GB2312" w:hAnsi="Times New Roman"/>
                      <w:sz w:val="28"/>
                      <w:szCs w:val="28"/>
                    </w:rPr>
                    <w:t>20</w:t>
                  </w:r>
                  <w:r w:rsidRPr="00B51F98">
                    <w:rPr>
                      <w:rFonts w:ascii="仿宋_GB2312" w:eastAsia="仿宋_GB2312" w:hAnsi="Times New Roman" w:hint="eastAsia"/>
                      <w:sz w:val="28"/>
                      <w:szCs w:val="28"/>
                    </w:rPr>
                    <w:t>]</w:t>
                  </w:r>
                  <w:r w:rsidRPr="00B51F98">
                    <w:rPr>
                      <w:rFonts w:ascii="仿宋_GB2312" w:eastAsia="仿宋_GB2312" w:hAnsi="Times New Roman"/>
                      <w:sz w:val="28"/>
                      <w:szCs w:val="28"/>
                    </w:rPr>
                    <w:t>%</w:t>
                  </w:r>
                  <w:proofErr w:type="gramEnd"/>
                </w:p>
              </w:tc>
            </w:tr>
          </w:tbl>
          <w:p w14:paraId="7BEEF556" w14:textId="77777777" w:rsidR="00CB00DF" w:rsidRDefault="00CB00DF" w:rsidP="006908A4">
            <w:pPr>
              <w:spacing w:line="500" w:lineRule="exact"/>
              <w:rPr>
                <w:rFonts w:ascii="仿宋" w:eastAsia="仿宋" w:hAnsi="仿宋" w:cs="宋体"/>
                <w:color w:val="333333"/>
                <w:kern w:val="0"/>
                <w:sz w:val="28"/>
                <w:szCs w:val="28"/>
                <w:bdr w:val="none" w:sz="0" w:space="0" w:color="auto" w:frame="1"/>
              </w:rPr>
            </w:pPr>
          </w:p>
          <w:p w14:paraId="4019F9E9" w14:textId="54E8A42B" w:rsidR="00072629" w:rsidRPr="00B51F98" w:rsidRDefault="00072629" w:rsidP="006908A4">
            <w:pPr>
              <w:spacing w:line="500" w:lineRule="exact"/>
              <w:rPr>
                <w:rFonts w:ascii="仿宋" w:eastAsia="仿宋" w:hAnsi="仿宋" w:cs="宋体" w:hint="eastAsia"/>
                <w:color w:val="333333"/>
                <w:kern w:val="0"/>
                <w:sz w:val="28"/>
                <w:szCs w:val="28"/>
                <w:bdr w:val="none" w:sz="0" w:space="0" w:color="auto" w:frame="1"/>
              </w:rPr>
            </w:pPr>
          </w:p>
        </w:tc>
      </w:tr>
    </w:tbl>
    <w:p w14:paraId="3A477630" w14:textId="77777777" w:rsidR="000F5E24" w:rsidRPr="00CB00DF" w:rsidRDefault="001E61A1" w:rsidP="00000A95"/>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7FFE5" w14:textId="77777777" w:rsidR="001E61A1" w:rsidRDefault="001E61A1" w:rsidP="00AF7529">
      <w:r>
        <w:separator/>
      </w:r>
    </w:p>
  </w:endnote>
  <w:endnote w:type="continuationSeparator" w:id="0">
    <w:p w14:paraId="0F8238E6" w14:textId="77777777" w:rsidR="001E61A1" w:rsidRDefault="001E61A1" w:rsidP="00AF7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1E416" w14:textId="77777777" w:rsidR="001E61A1" w:rsidRDefault="001E61A1" w:rsidP="00AF7529">
      <w:r>
        <w:separator/>
      </w:r>
    </w:p>
  </w:footnote>
  <w:footnote w:type="continuationSeparator" w:id="0">
    <w:p w14:paraId="7146DE05" w14:textId="77777777" w:rsidR="001E61A1" w:rsidRDefault="001E61A1" w:rsidP="00AF75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565BE"/>
    <w:multiLevelType w:val="hybridMultilevel"/>
    <w:tmpl w:val="5922D910"/>
    <w:lvl w:ilvl="0" w:tplc="139C9D70">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00A95"/>
    <w:rsid w:val="00037065"/>
    <w:rsid w:val="00072629"/>
    <w:rsid w:val="00090D66"/>
    <w:rsid w:val="000D7EBA"/>
    <w:rsid w:val="001164CD"/>
    <w:rsid w:val="001401C2"/>
    <w:rsid w:val="00140348"/>
    <w:rsid w:val="00155717"/>
    <w:rsid w:val="001837A3"/>
    <w:rsid w:val="001E61A1"/>
    <w:rsid w:val="00315B88"/>
    <w:rsid w:val="00330938"/>
    <w:rsid w:val="003B2492"/>
    <w:rsid w:val="003C0AEB"/>
    <w:rsid w:val="00451493"/>
    <w:rsid w:val="004769FB"/>
    <w:rsid w:val="004C3124"/>
    <w:rsid w:val="004F7688"/>
    <w:rsid w:val="006246EF"/>
    <w:rsid w:val="006467D8"/>
    <w:rsid w:val="006A531B"/>
    <w:rsid w:val="006F7693"/>
    <w:rsid w:val="00710140"/>
    <w:rsid w:val="007F2275"/>
    <w:rsid w:val="00915F0F"/>
    <w:rsid w:val="009532DF"/>
    <w:rsid w:val="00997019"/>
    <w:rsid w:val="009A5029"/>
    <w:rsid w:val="009D38D5"/>
    <w:rsid w:val="00A53F26"/>
    <w:rsid w:val="00AA0CC5"/>
    <w:rsid w:val="00AF7529"/>
    <w:rsid w:val="00B16AFE"/>
    <w:rsid w:val="00B51F98"/>
    <w:rsid w:val="00B65DD5"/>
    <w:rsid w:val="00BD10B6"/>
    <w:rsid w:val="00C07076"/>
    <w:rsid w:val="00CB00DF"/>
    <w:rsid w:val="00D66F60"/>
    <w:rsid w:val="00D73C72"/>
    <w:rsid w:val="00DB2581"/>
    <w:rsid w:val="00E0592B"/>
    <w:rsid w:val="00E31738"/>
    <w:rsid w:val="00E86786"/>
    <w:rsid w:val="00EB3370"/>
    <w:rsid w:val="00ED2F80"/>
    <w:rsid w:val="00F1624E"/>
    <w:rsid w:val="00F32F8A"/>
    <w:rsid w:val="00F539A6"/>
    <w:rsid w:val="00F810AA"/>
    <w:rsid w:val="00FB43EC"/>
    <w:rsid w:val="00FB6B40"/>
    <w:rsid w:val="00FF689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A59AF"/>
  <w15:docId w15:val="{31376D74-531E-488F-96DD-819DD49A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1C2"/>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52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F7529"/>
    <w:rPr>
      <w:rFonts w:ascii="Calibri" w:eastAsia="宋体" w:hAnsi="Calibri" w:cs="Times New Roman"/>
      <w:sz w:val="18"/>
      <w:szCs w:val="18"/>
    </w:rPr>
  </w:style>
  <w:style w:type="paragraph" w:styleId="a5">
    <w:name w:val="footer"/>
    <w:basedOn w:val="a"/>
    <w:link w:val="a6"/>
    <w:uiPriority w:val="99"/>
    <w:unhideWhenUsed/>
    <w:rsid w:val="00AF7529"/>
    <w:pPr>
      <w:tabs>
        <w:tab w:val="center" w:pos="4153"/>
        <w:tab w:val="right" w:pos="8306"/>
      </w:tabs>
      <w:snapToGrid w:val="0"/>
      <w:jc w:val="left"/>
    </w:pPr>
    <w:rPr>
      <w:sz w:val="18"/>
      <w:szCs w:val="18"/>
    </w:rPr>
  </w:style>
  <w:style w:type="character" w:customStyle="1" w:styleId="a6">
    <w:name w:val="页脚 字符"/>
    <w:basedOn w:val="a0"/>
    <w:link w:val="a5"/>
    <w:uiPriority w:val="99"/>
    <w:rsid w:val="00AF752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124</Words>
  <Characters>710</Characters>
  <DocSecurity>0</DocSecurity>
  <Lines>5</Lines>
  <Paragraphs>1</Paragraphs>
  <ScaleCrop>false</ScaleCrop>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2022-03-29T18:36:00Z</dcterms:created>
  <dcterms:modified xsi:type="dcterms:W3CDTF">2022-04-01T02:43:00Z</dcterms:modified>
</cp:coreProperties>
</file>