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Times New Roman" w:hAnsi="Times New Roman" w:eastAsia="仿宋_GB2312"/>
          <w:sz w:val="24"/>
          <w:szCs w:val="24"/>
        </w:rPr>
      </w:pPr>
      <w:bookmarkStart w:id="0" w:name="_GoBack"/>
      <w:bookmarkEnd w:id="0"/>
      <w:r>
        <w:rPr>
          <w:rFonts w:ascii="Times New Roman" w:hAnsi="Times New Roman" w:eastAsia="仿宋_GB2312"/>
          <w:b/>
          <w:sz w:val="24"/>
          <w:szCs w:val="24"/>
        </w:rPr>
        <w:t>经营者集中简易案件公示表</w:t>
      </w:r>
    </w:p>
    <w:p>
      <w:pPr>
        <w:spacing w:line="440" w:lineRule="exact"/>
        <w:ind w:firstLine="664" w:firstLineChars="302"/>
        <w:rPr>
          <w:rFonts w:ascii="Times New Roman" w:hAnsi="Times New Roman" w:eastAsia="仿宋_GB2312"/>
          <w:sz w:val="22"/>
        </w:rPr>
      </w:pPr>
    </w:p>
    <w:tbl>
      <w:tblPr>
        <w:tblStyle w:val="7"/>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809" w:type="dxa"/>
            <w:shd w:val="clear" w:color="auto" w:fill="D9D9D9"/>
            <w:vAlign w:val="center"/>
          </w:tcPr>
          <w:p>
            <w:pPr>
              <w:jc w:val="center"/>
              <w:rPr>
                <w:rFonts w:ascii="Times New Roman" w:hAnsi="Times New Roman" w:eastAsia="仿宋_GB2312"/>
                <w:color w:val="333333"/>
                <w:kern w:val="0"/>
                <w:sz w:val="22"/>
              </w:rPr>
            </w:pPr>
            <w:r>
              <w:rPr>
                <w:rFonts w:ascii="Times New Roman" w:hAnsi="Times New Roman" w:eastAsia="仿宋_GB2312"/>
                <w:color w:val="333333"/>
                <w:kern w:val="0"/>
                <w:sz w:val="22"/>
              </w:rPr>
              <w:t>案件名称</w:t>
            </w:r>
          </w:p>
        </w:tc>
        <w:tc>
          <w:tcPr>
            <w:tcW w:w="6949" w:type="dxa"/>
            <w:gridSpan w:val="2"/>
          </w:tcPr>
          <w:p>
            <w:pPr>
              <w:rPr>
                <w:rFonts w:ascii="Times New Roman" w:hAnsi="Times New Roman" w:eastAsia="仿宋_GB2312"/>
                <w:color w:val="333333"/>
                <w:kern w:val="0"/>
                <w:sz w:val="22"/>
              </w:rPr>
            </w:pPr>
            <w:r>
              <w:rPr>
                <w:rFonts w:hint="eastAsia" w:ascii="Times New Roman" w:hAnsi="Times New Roman" w:eastAsia="仿宋_GB2312"/>
                <w:sz w:val="22"/>
              </w:rPr>
              <w:t>深圳印力咨询管理有限公司通过合同取得湖南盈富置业有限公司控制权案（“</w:t>
            </w:r>
            <w:r>
              <w:rPr>
                <w:rFonts w:hint="eastAsia" w:ascii="Times New Roman" w:hAnsi="Times New Roman" w:eastAsia="仿宋_GB2312"/>
                <w:b/>
                <w:sz w:val="22"/>
              </w:rPr>
              <w:t>本次交易</w:t>
            </w:r>
            <w:r>
              <w:rPr>
                <w:rFonts w:hint="eastAsia" w:ascii="Times New Roman" w:hAnsi="Times New Roman" w:eastAsia="仿宋_GB2312"/>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trPr>
        <w:tc>
          <w:tcPr>
            <w:tcW w:w="1809" w:type="dxa"/>
            <w:shd w:val="clear" w:color="auto" w:fill="D9D9D9"/>
            <w:vAlign w:val="center"/>
          </w:tcPr>
          <w:p>
            <w:pPr>
              <w:jc w:val="center"/>
              <w:rPr>
                <w:rFonts w:ascii="Times New Roman" w:hAnsi="Times New Roman" w:eastAsia="仿宋_GB2312"/>
                <w:color w:val="333333"/>
                <w:kern w:val="0"/>
                <w:sz w:val="22"/>
              </w:rPr>
            </w:pPr>
            <w:r>
              <w:rPr>
                <w:rFonts w:hint="eastAsia" w:ascii="Times New Roman" w:hAnsi="Times New Roman" w:eastAsia="仿宋_GB2312"/>
                <w:color w:val="333333"/>
                <w:kern w:val="0"/>
                <w:sz w:val="22"/>
              </w:rPr>
              <w:t>交易概况</w:t>
            </w:r>
          </w:p>
          <w:p>
            <w:pPr>
              <w:jc w:val="center"/>
              <w:rPr>
                <w:rFonts w:ascii="Times New Roman" w:hAnsi="Times New Roman" w:eastAsia="仿宋_GB2312"/>
                <w:color w:val="333333"/>
                <w:kern w:val="0"/>
                <w:sz w:val="22"/>
              </w:rPr>
            </w:pPr>
            <w:r>
              <w:rPr>
                <w:rFonts w:hint="eastAsia" w:ascii="Times New Roman" w:hAnsi="Times New Roman" w:eastAsia="仿宋_GB2312"/>
                <w:color w:val="333333"/>
                <w:kern w:val="0"/>
                <w:sz w:val="22"/>
              </w:rPr>
              <w:t>（限</w:t>
            </w:r>
            <w:r>
              <w:rPr>
                <w:rFonts w:ascii="Times New Roman" w:hAnsi="Times New Roman" w:eastAsia="仿宋_GB2312"/>
                <w:color w:val="333333"/>
                <w:kern w:val="0"/>
                <w:sz w:val="22"/>
              </w:rPr>
              <w:t>200</w:t>
            </w:r>
            <w:r>
              <w:rPr>
                <w:rFonts w:hint="eastAsia" w:ascii="Times New Roman" w:hAnsi="Times New Roman" w:eastAsia="仿宋_GB2312"/>
                <w:color w:val="333333"/>
                <w:kern w:val="0"/>
                <w:sz w:val="22"/>
              </w:rPr>
              <w:t>字内）</w:t>
            </w:r>
          </w:p>
        </w:tc>
        <w:tc>
          <w:tcPr>
            <w:tcW w:w="6949" w:type="dxa"/>
            <w:gridSpan w:val="2"/>
          </w:tcPr>
          <w:p>
            <w:pPr>
              <w:rPr>
                <w:rFonts w:ascii="Times New Roman" w:hAnsi="Times New Roman" w:eastAsia="仿宋_GB2312"/>
                <w:bCs/>
                <w:kern w:val="0"/>
                <w:sz w:val="22"/>
              </w:rPr>
            </w:pPr>
            <w:r>
              <w:rPr>
                <w:rFonts w:hint="eastAsia" w:ascii="Times New Roman" w:hAnsi="Times New Roman" w:eastAsia="仿宋_GB2312"/>
                <w:sz w:val="22"/>
              </w:rPr>
              <w:t>深圳印力咨询管理有限公司（“</w:t>
            </w:r>
            <w:r>
              <w:rPr>
                <w:rFonts w:hint="eastAsia" w:ascii="Times New Roman" w:hAnsi="Times New Roman" w:eastAsia="仿宋_GB2312"/>
                <w:b/>
                <w:sz w:val="22"/>
              </w:rPr>
              <w:t>印力咨询</w:t>
            </w:r>
            <w:r>
              <w:rPr>
                <w:rFonts w:hint="eastAsia" w:ascii="Times New Roman" w:hAnsi="Times New Roman" w:eastAsia="仿宋_GB2312"/>
                <w:sz w:val="22"/>
              </w:rPr>
              <w:t>”）与</w:t>
            </w:r>
            <w:r>
              <w:rPr>
                <w:rFonts w:hint="eastAsia" w:ascii="Times New Roman" w:hAnsi="Times New Roman" w:eastAsia="仿宋_GB2312"/>
                <w:kern w:val="0"/>
                <w:sz w:val="22"/>
              </w:rPr>
              <w:t>中信资本股权投资（天津）股份有限公司（“</w:t>
            </w:r>
            <w:r>
              <w:rPr>
                <w:rFonts w:hint="eastAsia" w:ascii="Times New Roman" w:hAnsi="Times New Roman" w:eastAsia="仿宋_GB2312"/>
                <w:b/>
                <w:kern w:val="0"/>
                <w:sz w:val="22"/>
              </w:rPr>
              <w:t>中信资本天津</w:t>
            </w:r>
            <w:r>
              <w:rPr>
                <w:rFonts w:hint="eastAsia" w:ascii="Times New Roman" w:hAnsi="Times New Roman" w:eastAsia="仿宋_GB2312"/>
                <w:kern w:val="0"/>
                <w:sz w:val="22"/>
              </w:rPr>
              <w:t>”）及关联公司签署协议，拟</w:t>
            </w:r>
            <w:r>
              <w:rPr>
                <w:rFonts w:hint="eastAsia" w:ascii="Times New Roman" w:hAnsi="Times New Roman" w:eastAsia="仿宋_GB2312"/>
                <w:sz w:val="22"/>
              </w:rPr>
              <w:t>以合同方式取得对项目公司湖南盈富置业有限公司（“</w:t>
            </w:r>
            <w:r>
              <w:rPr>
                <w:rFonts w:hint="eastAsia" w:ascii="Times New Roman" w:hAnsi="Times New Roman" w:eastAsia="仿宋_GB2312"/>
                <w:b/>
                <w:sz w:val="22"/>
              </w:rPr>
              <w:t>盈富置业</w:t>
            </w:r>
            <w:r>
              <w:rPr>
                <w:rFonts w:hint="eastAsia" w:ascii="Times New Roman" w:hAnsi="Times New Roman" w:eastAsia="仿宋_GB2312"/>
                <w:sz w:val="22"/>
              </w:rPr>
              <w:t>”）和标的项目</w:t>
            </w:r>
            <w:r>
              <w:rPr>
                <w:rFonts w:hint="eastAsia" w:ascii="Times New Roman" w:hAnsi="Times New Roman" w:eastAsia="仿宋_GB2312"/>
                <w:bCs/>
                <w:kern w:val="0"/>
                <w:sz w:val="22"/>
              </w:rPr>
              <w:t>（位于湖南省长沙市天心区坡子街</w:t>
            </w:r>
            <w:r>
              <w:rPr>
                <w:rFonts w:ascii="Times New Roman" w:hAnsi="Times New Roman" w:eastAsia="仿宋_GB2312"/>
                <w:bCs/>
                <w:kern w:val="0"/>
                <w:sz w:val="22"/>
              </w:rPr>
              <w:t>216</w:t>
            </w:r>
            <w:r>
              <w:rPr>
                <w:rFonts w:hint="eastAsia" w:ascii="Times New Roman" w:hAnsi="Times New Roman" w:eastAsia="仿宋_GB2312"/>
                <w:bCs/>
                <w:kern w:val="0"/>
                <w:sz w:val="22"/>
              </w:rPr>
              <w:t>号的长沙悦方</w:t>
            </w:r>
            <w:r>
              <w:rPr>
                <w:rFonts w:ascii="Times New Roman" w:hAnsi="Times New Roman" w:eastAsia="仿宋_GB2312"/>
                <w:bCs/>
                <w:kern w:val="0"/>
                <w:sz w:val="22"/>
              </w:rPr>
              <w:t>ID Mall</w:t>
            </w:r>
            <w:r>
              <w:rPr>
                <w:rFonts w:hint="eastAsia" w:ascii="Times New Roman" w:hAnsi="Times New Roman" w:eastAsia="仿宋_GB2312"/>
                <w:bCs/>
                <w:kern w:val="0"/>
                <w:sz w:val="22"/>
              </w:rPr>
              <w:t>）在《反垄断法》意义下</w:t>
            </w:r>
            <w:r>
              <w:rPr>
                <w:rFonts w:hint="eastAsia" w:ascii="Times New Roman" w:hAnsi="Times New Roman" w:eastAsia="仿宋_GB2312"/>
                <w:sz w:val="22"/>
              </w:rPr>
              <w:t>的控制权。</w:t>
            </w:r>
            <w:r>
              <w:rPr>
                <w:rFonts w:hint="eastAsia" w:ascii="Times New Roman" w:hAnsi="Times New Roman" w:eastAsia="仿宋_GB2312"/>
                <w:bCs/>
                <w:kern w:val="0"/>
                <w:sz w:val="22"/>
              </w:rPr>
              <w:t>盈富置业主要从事物业租赁，物业管理及相关配套服务，停车场服务和展览展示策划等相关业务。</w:t>
            </w:r>
          </w:p>
          <w:p>
            <w:pPr>
              <w:rPr>
                <w:rFonts w:ascii="Times New Roman" w:hAnsi="Times New Roman" w:eastAsia="仿宋_GB2312"/>
                <w:sz w:val="22"/>
              </w:rPr>
            </w:pPr>
            <w:r>
              <w:rPr>
                <w:rFonts w:hint="eastAsia" w:ascii="Times New Roman" w:hAnsi="Times New Roman" w:eastAsia="仿宋_GB2312"/>
                <w:sz w:val="22"/>
              </w:rPr>
              <w:t>本次交易前，</w:t>
            </w:r>
            <w:r>
              <w:rPr>
                <w:rFonts w:hint="eastAsia" w:ascii="Times New Roman" w:hAnsi="Times New Roman" w:eastAsia="仿宋_GB2312"/>
                <w:kern w:val="0"/>
                <w:sz w:val="22"/>
              </w:rPr>
              <w:t>中信资本天津通过关联方单独控制</w:t>
            </w:r>
            <w:r>
              <w:rPr>
                <w:rFonts w:hint="eastAsia" w:ascii="Times New Roman" w:hAnsi="Times New Roman" w:eastAsia="仿宋_GB2312"/>
                <w:sz w:val="22"/>
              </w:rPr>
              <w:t>项目公司盈富置业，后者持有本次交易标的项目的法定及实益所有权。本次交易后，印力咨询与中信资本天津将取得对项目公司和标的项目的共同控制权。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jc w:val="center"/>
              <w:rPr>
                <w:rFonts w:ascii="Times New Roman" w:hAnsi="Times New Roman" w:eastAsia="仿宋_GB2312"/>
                <w:color w:val="333333"/>
                <w:kern w:val="0"/>
                <w:sz w:val="22"/>
              </w:rPr>
            </w:pPr>
            <w:r>
              <w:rPr>
                <w:rFonts w:hint="eastAsia" w:ascii="Times New Roman" w:hAnsi="Times New Roman" w:eastAsia="仿宋_GB2312"/>
                <w:color w:val="333333"/>
                <w:kern w:val="0"/>
                <w:sz w:val="22"/>
              </w:rPr>
              <w:t>参与集中的</w:t>
            </w:r>
          </w:p>
          <w:p>
            <w:pPr>
              <w:jc w:val="center"/>
              <w:rPr>
                <w:rFonts w:ascii="Times New Roman" w:hAnsi="Times New Roman" w:eastAsia="仿宋_GB2312"/>
                <w:color w:val="333333"/>
                <w:kern w:val="0"/>
                <w:sz w:val="22"/>
              </w:rPr>
            </w:pPr>
            <w:r>
              <w:rPr>
                <w:rFonts w:hint="eastAsia" w:ascii="Times New Roman" w:hAnsi="Times New Roman" w:eastAsia="仿宋_GB2312"/>
                <w:color w:val="333333"/>
                <w:kern w:val="0"/>
                <w:sz w:val="22"/>
              </w:rPr>
              <w:t>经营者简介</w:t>
            </w:r>
          </w:p>
        </w:tc>
        <w:tc>
          <w:tcPr>
            <w:tcW w:w="1796" w:type="dxa"/>
            <w:vAlign w:val="center"/>
          </w:tcPr>
          <w:p>
            <w:pPr>
              <w:rPr>
                <w:rFonts w:ascii="Times New Roman" w:hAnsi="Times New Roman" w:eastAsia="仿宋_GB2312"/>
                <w:color w:val="333333"/>
                <w:kern w:val="0"/>
                <w:sz w:val="22"/>
              </w:rPr>
            </w:pPr>
            <w:r>
              <w:rPr>
                <w:rFonts w:ascii="Times New Roman" w:hAnsi="Times New Roman" w:eastAsia="仿宋_GB2312"/>
                <w:color w:val="333333"/>
                <w:kern w:val="0"/>
                <w:sz w:val="22"/>
              </w:rPr>
              <w:t>1</w:t>
            </w:r>
            <w:r>
              <w:rPr>
                <w:rFonts w:hint="eastAsia" w:ascii="Times New Roman" w:hAnsi="Times New Roman" w:eastAsia="仿宋_GB2312"/>
                <w:color w:val="333333"/>
                <w:kern w:val="0"/>
                <w:sz w:val="22"/>
              </w:rPr>
              <w:t>、</w:t>
            </w:r>
            <w:r>
              <w:rPr>
                <w:rFonts w:hint="eastAsia" w:ascii="Times New Roman" w:hAnsi="Times New Roman" w:eastAsia="仿宋_GB2312"/>
                <w:sz w:val="22"/>
              </w:rPr>
              <w:t>印力咨询</w:t>
            </w:r>
          </w:p>
        </w:tc>
        <w:tc>
          <w:tcPr>
            <w:tcW w:w="5153" w:type="dxa"/>
            <w:vAlign w:val="center"/>
          </w:tcPr>
          <w:p>
            <w:pPr>
              <w:widowControl/>
              <w:snapToGrid w:val="0"/>
              <w:rPr>
                <w:rFonts w:ascii="Times New Roman" w:hAnsi="Times New Roman" w:eastAsia="仿宋_GB2312"/>
                <w:sz w:val="22"/>
              </w:rPr>
            </w:pPr>
            <w:r>
              <w:rPr>
                <w:rFonts w:hint="eastAsia" w:ascii="Times New Roman" w:hAnsi="Times New Roman" w:eastAsia="仿宋_GB2312"/>
                <w:sz w:val="22"/>
              </w:rPr>
              <w:t>印力咨询于</w:t>
            </w:r>
            <w:r>
              <w:rPr>
                <w:rFonts w:ascii="Times New Roman" w:hAnsi="Times New Roman" w:eastAsia="仿宋_GB2312"/>
                <w:sz w:val="22"/>
              </w:rPr>
              <w:t>2017</w:t>
            </w:r>
            <w:r>
              <w:rPr>
                <w:rFonts w:hint="eastAsia" w:ascii="Times New Roman" w:hAnsi="Times New Roman" w:eastAsia="仿宋_GB2312"/>
                <w:sz w:val="22"/>
              </w:rPr>
              <w:t>年</w:t>
            </w:r>
            <w:r>
              <w:rPr>
                <w:rFonts w:ascii="Times New Roman" w:hAnsi="Times New Roman" w:eastAsia="仿宋_GB2312"/>
                <w:sz w:val="22"/>
              </w:rPr>
              <w:t>9</w:t>
            </w:r>
            <w:r>
              <w:rPr>
                <w:rFonts w:hint="eastAsia" w:ascii="Times New Roman" w:hAnsi="Times New Roman" w:eastAsia="仿宋_GB2312"/>
                <w:sz w:val="22"/>
              </w:rPr>
              <w:t>月</w:t>
            </w:r>
            <w:r>
              <w:rPr>
                <w:rFonts w:ascii="Times New Roman" w:hAnsi="Times New Roman" w:eastAsia="仿宋_GB2312"/>
                <w:sz w:val="22"/>
              </w:rPr>
              <w:t>27</w:t>
            </w:r>
            <w:r>
              <w:rPr>
                <w:rFonts w:hint="eastAsia" w:ascii="Times New Roman" w:hAnsi="Times New Roman" w:eastAsia="仿宋_GB2312"/>
                <w:sz w:val="22"/>
              </w:rPr>
              <w:t>日成立于中国深圳市。印力咨询在中国境内主要从事企业管理咨询，商务信息咨询以及商业信息咨询等业务。</w:t>
            </w:r>
          </w:p>
          <w:p>
            <w:pPr>
              <w:widowControl/>
              <w:snapToGrid w:val="0"/>
              <w:rPr>
                <w:rFonts w:ascii="Times New Roman" w:hAnsi="Times New Roman" w:eastAsia="仿宋_GB2312"/>
                <w:sz w:val="22"/>
              </w:rPr>
            </w:pPr>
            <w:r>
              <w:rPr>
                <w:rFonts w:hint="eastAsia" w:ascii="Times New Roman" w:hAnsi="Times New Roman" w:eastAsia="仿宋_GB2312"/>
                <w:sz w:val="22"/>
              </w:rPr>
              <w:t>印力咨询的最终控制人为万科企业股份有限公司，其主营业务为房地产开发和物业管理服务，其地产开发业务主要为住宅开发业务。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4" w:hRule="atLeast"/>
        </w:trPr>
        <w:tc>
          <w:tcPr>
            <w:tcW w:w="1809" w:type="dxa"/>
            <w:vMerge w:val="continue"/>
            <w:shd w:val="clear" w:color="auto" w:fill="D9D9D9"/>
            <w:vAlign w:val="center"/>
          </w:tcPr>
          <w:p>
            <w:pPr>
              <w:jc w:val="center"/>
              <w:rPr>
                <w:rFonts w:ascii="Times New Roman" w:hAnsi="Times New Roman" w:eastAsia="仿宋_GB2312"/>
                <w:color w:val="333333"/>
                <w:kern w:val="0"/>
                <w:sz w:val="22"/>
              </w:rPr>
            </w:pPr>
          </w:p>
        </w:tc>
        <w:tc>
          <w:tcPr>
            <w:tcW w:w="1796" w:type="dxa"/>
            <w:vAlign w:val="center"/>
          </w:tcPr>
          <w:p>
            <w:pPr>
              <w:rPr>
                <w:rFonts w:ascii="Times New Roman" w:hAnsi="Times New Roman" w:eastAsia="仿宋_GB2312"/>
                <w:color w:val="333333"/>
                <w:kern w:val="0"/>
                <w:sz w:val="22"/>
              </w:rPr>
            </w:pPr>
            <w:r>
              <w:rPr>
                <w:rFonts w:ascii="Times New Roman" w:hAnsi="Times New Roman" w:eastAsia="仿宋_GB2312"/>
                <w:color w:val="333333"/>
                <w:kern w:val="0"/>
                <w:sz w:val="22"/>
              </w:rPr>
              <w:t>2</w:t>
            </w:r>
            <w:r>
              <w:rPr>
                <w:rFonts w:hint="eastAsia" w:ascii="Times New Roman" w:hAnsi="Times New Roman" w:eastAsia="仿宋_GB2312"/>
                <w:color w:val="333333"/>
                <w:kern w:val="0"/>
                <w:sz w:val="22"/>
              </w:rPr>
              <w:t>、</w:t>
            </w:r>
            <w:r>
              <w:rPr>
                <w:rFonts w:hint="eastAsia" w:ascii="Times New Roman" w:hAnsi="Times New Roman" w:eastAsia="仿宋_GB2312"/>
                <w:sz w:val="22"/>
              </w:rPr>
              <w:t>中信资本天津</w:t>
            </w:r>
          </w:p>
        </w:tc>
        <w:tc>
          <w:tcPr>
            <w:tcW w:w="5153" w:type="dxa"/>
            <w:vAlign w:val="center"/>
          </w:tcPr>
          <w:p>
            <w:pPr>
              <w:snapToGrid w:val="0"/>
              <w:rPr>
                <w:rFonts w:ascii="Times New Roman" w:hAnsi="Times New Roman" w:eastAsia="仿宋_GB2312"/>
                <w:sz w:val="22"/>
              </w:rPr>
            </w:pPr>
            <w:r>
              <w:rPr>
                <w:rFonts w:hint="eastAsia" w:ascii="Times New Roman" w:hAnsi="Times New Roman" w:eastAsia="仿宋_GB2312"/>
                <w:sz w:val="22"/>
              </w:rPr>
              <w:t>中信资本天津于</w:t>
            </w:r>
            <w:r>
              <w:rPr>
                <w:rFonts w:ascii="Times New Roman" w:hAnsi="Times New Roman" w:eastAsia="仿宋_GB2312"/>
                <w:sz w:val="22"/>
              </w:rPr>
              <w:t>2009</w:t>
            </w:r>
            <w:r>
              <w:rPr>
                <w:rFonts w:hint="eastAsia" w:ascii="Times New Roman" w:hAnsi="Times New Roman" w:eastAsia="仿宋_GB2312"/>
                <w:sz w:val="22"/>
              </w:rPr>
              <w:t>年</w:t>
            </w:r>
            <w:r>
              <w:rPr>
                <w:rFonts w:ascii="Times New Roman" w:hAnsi="Times New Roman" w:eastAsia="仿宋_GB2312"/>
                <w:sz w:val="22"/>
              </w:rPr>
              <w:t>1</w:t>
            </w:r>
            <w:r>
              <w:rPr>
                <w:rFonts w:hint="eastAsia" w:ascii="Times New Roman" w:hAnsi="Times New Roman" w:eastAsia="仿宋_GB2312"/>
                <w:sz w:val="22"/>
              </w:rPr>
              <w:t>月</w:t>
            </w:r>
            <w:r>
              <w:rPr>
                <w:rFonts w:ascii="Times New Roman" w:hAnsi="Times New Roman" w:eastAsia="仿宋_GB2312"/>
                <w:sz w:val="22"/>
              </w:rPr>
              <w:t>23</w:t>
            </w:r>
            <w:r>
              <w:rPr>
                <w:rFonts w:hint="eastAsia" w:ascii="Times New Roman" w:hAnsi="Times New Roman" w:eastAsia="仿宋_GB2312"/>
                <w:sz w:val="22"/>
              </w:rPr>
              <w:t>日成立于中国天津市。中信资本天津于</w:t>
            </w:r>
            <w:r>
              <w:rPr>
                <w:rFonts w:ascii="Times New Roman" w:hAnsi="Times New Roman" w:eastAsia="仿宋_GB2312"/>
                <w:sz w:val="22"/>
              </w:rPr>
              <w:t>2009</w:t>
            </w:r>
            <w:r>
              <w:rPr>
                <w:rFonts w:hint="eastAsia" w:ascii="Times New Roman" w:hAnsi="Times New Roman" w:eastAsia="仿宋_GB2312"/>
                <w:sz w:val="22"/>
              </w:rPr>
              <w:t>年</w:t>
            </w:r>
            <w:r>
              <w:rPr>
                <w:rFonts w:ascii="Times New Roman" w:hAnsi="Times New Roman" w:eastAsia="仿宋_GB2312"/>
                <w:sz w:val="22"/>
              </w:rPr>
              <w:t>1</w:t>
            </w:r>
            <w:r>
              <w:rPr>
                <w:rFonts w:hint="eastAsia" w:ascii="Times New Roman" w:hAnsi="Times New Roman" w:eastAsia="仿宋_GB2312"/>
                <w:sz w:val="22"/>
              </w:rPr>
              <w:t>月</w:t>
            </w:r>
            <w:r>
              <w:rPr>
                <w:rFonts w:ascii="Times New Roman" w:hAnsi="Times New Roman" w:eastAsia="仿宋_GB2312"/>
                <w:sz w:val="22"/>
              </w:rPr>
              <w:t>23</w:t>
            </w:r>
            <w:r>
              <w:rPr>
                <w:rFonts w:hint="eastAsia" w:ascii="Times New Roman" w:hAnsi="Times New Roman" w:eastAsia="仿宋_GB2312"/>
                <w:sz w:val="22"/>
              </w:rPr>
              <w:t>日成立于中国天津市。中信资本天津除对外进行股权投资外，其旗下多家已登记为私募基金管理人的子公司在境内开展人民币私募股权基金管理业务。</w:t>
            </w:r>
          </w:p>
          <w:p>
            <w:pPr>
              <w:snapToGrid w:val="0"/>
              <w:rPr>
                <w:rFonts w:ascii="Times New Roman" w:hAnsi="Times New Roman" w:eastAsia="仿宋_GB2312"/>
                <w:color w:val="333333"/>
                <w:kern w:val="0"/>
                <w:sz w:val="22"/>
              </w:rPr>
            </w:pPr>
            <w:r>
              <w:rPr>
                <w:rFonts w:hint="eastAsia" w:ascii="Times New Roman" w:hAnsi="Times New Roman" w:eastAsia="仿宋_GB2312"/>
                <w:sz w:val="22"/>
              </w:rPr>
              <w:t>中信资本天津的最终控制人为中信资本控股有限公司，其核心业务包括私募股权投资</w:t>
            </w:r>
            <w:r>
              <w:rPr>
                <w:rFonts w:hint="eastAsia" w:ascii="Times New Roman" w:hAnsi="Times New Roman" w:eastAsia="仿宋_GB2312"/>
                <w:sz w:val="22"/>
                <w:lang w:eastAsia="zh-CN"/>
              </w:rPr>
              <w:t>、</w:t>
            </w:r>
            <w:r>
              <w:rPr>
                <w:rFonts w:hint="eastAsia" w:ascii="Times New Roman" w:hAnsi="Times New Roman" w:eastAsia="仿宋_GB2312"/>
                <w:sz w:val="22"/>
              </w:rPr>
              <w:t>不动产投资、结构融资</w:t>
            </w:r>
            <w:r>
              <w:rPr>
                <w:rFonts w:hint="eastAsia" w:ascii="Times New Roman" w:hAnsi="Times New Roman" w:eastAsia="仿宋_GB2312"/>
                <w:sz w:val="22"/>
                <w:lang w:eastAsia="zh-CN"/>
              </w:rPr>
              <w:t>、</w:t>
            </w:r>
            <w:r>
              <w:rPr>
                <w:rFonts w:hint="eastAsia" w:ascii="Times New Roman" w:hAnsi="Times New Roman" w:eastAsia="仿宋_GB2312"/>
                <w:sz w:val="22"/>
              </w:rPr>
              <w:t>资产管理及特殊机会投资</w:t>
            </w:r>
            <w:r>
              <w:rPr>
                <w:rFonts w:hint="eastAsia" w:ascii="Times New Roman" w:hAnsi="Times New Roman" w:eastAsia="仿宋_GB2312"/>
                <w:color w:val="333333"/>
                <w:kern w:val="0"/>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ascii="Times New Roman" w:hAnsi="Times New Roman" w:eastAsia="仿宋_GB2312"/>
                <w:color w:val="333333"/>
                <w:kern w:val="0"/>
                <w:sz w:val="22"/>
              </w:rPr>
            </w:pPr>
            <w:r>
              <w:rPr>
                <w:rFonts w:hint="eastAsia" w:ascii="Times New Roman" w:hAnsi="Times New Roman" w:eastAsia="仿宋_GB2312"/>
                <w:color w:val="333333"/>
                <w:kern w:val="0"/>
                <w:sz w:val="22"/>
              </w:rPr>
              <w:t>简易案件理由（可以单选，也可以多选）</w:t>
            </w:r>
          </w:p>
        </w:tc>
        <w:tc>
          <w:tcPr>
            <w:tcW w:w="6949" w:type="dxa"/>
            <w:gridSpan w:val="2"/>
          </w:tcPr>
          <w:p>
            <w:pPr>
              <w:rPr>
                <w:rFonts w:ascii="Times New Roman" w:hAnsi="Times New Roman" w:eastAsia="仿宋_GB2312"/>
                <w:color w:val="333333"/>
                <w:kern w:val="0"/>
                <w:sz w:val="22"/>
              </w:rPr>
            </w:pPr>
            <w:r>
              <w:rPr>
                <w:rFonts w:ascii="Times New Roman" w:hAnsi="Times New Roman" w:eastAsia="仿宋_GB2312"/>
                <w:color w:val="333333"/>
                <w:kern w:val="0"/>
                <w:sz w:val="22"/>
              </w:rPr>
              <w:sym w:font="Wingdings" w:char="F0FE"/>
            </w:r>
            <w:r>
              <w:rPr>
                <w:rFonts w:ascii="Times New Roman" w:hAnsi="Times New Roman" w:eastAsia="仿宋_GB2312"/>
                <w:color w:val="333333"/>
                <w:kern w:val="0"/>
                <w:sz w:val="22"/>
              </w:rPr>
              <w:t xml:space="preserve"> 1.</w:t>
            </w:r>
            <w:r>
              <w:rPr>
                <w:rFonts w:hint="eastAsia" w:ascii="Times New Roman" w:hAnsi="Times New Roman" w:eastAsia="仿宋_GB2312"/>
                <w:color w:val="333333"/>
                <w:kern w:val="0"/>
                <w:sz w:val="22"/>
              </w:rPr>
              <w:t>在同一相关市场，所有参与集中的经营者所占市场份额之和小于</w:t>
            </w:r>
            <w:r>
              <w:rPr>
                <w:rFonts w:ascii="Times New Roman" w:hAnsi="Times New Roman" w:eastAsia="仿宋_GB2312"/>
                <w:color w:val="333333"/>
                <w:kern w:val="0"/>
                <w:sz w:val="22"/>
              </w:rPr>
              <w:t>15%</w:t>
            </w:r>
            <w:r>
              <w:rPr>
                <w:rFonts w:hint="eastAsia" w:ascii="Times New Roman" w:hAnsi="Times New Roman" w:eastAsia="仿宋_GB2312"/>
                <w:color w:val="333333"/>
                <w:kern w:val="0"/>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W w:w="1809" w:type="dxa"/>
            <w:vMerge w:val="continue"/>
            <w:shd w:val="clear" w:color="auto" w:fill="D9D9D9"/>
            <w:vAlign w:val="center"/>
          </w:tcPr>
          <w:p>
            <w:pPr>
              <w:jc w:val="center"/>
              <w:rPr>
                <w:rFonts w:ascii="Times New Roman" w:hAnsi="Times New Roman" w:eastAsia="仿宋_GB2312"/>
                <w:color w:val="333333"/>
                <w:kern w:val="0"/>
                <w:sz w:val="22"/>
              </w:rPr>
            </w:pPr>
          </w:p>
        </w:tc>
        <w:tc>
          <w:tcPr>
            <w:tcW w:w="6949" w:type="dxa"/>
            <w:gridSpan w:val="2"/>
          </w:tcPr>
          <w:p>
            <w:pPr>
              <w:rPr>
                <w:rFonts w:ascii="Times New Roman" w:hAnsi="Times New Roman" w:eastAsia="仿宋_GB2312"/>
                <w:color w:val="333333"/>
                <w:kern w:val="0"/>
                <w:sz w:val="22"/>
              </w:rPr>
            </w:pPr>
            <w:r>
              <w:rPr>
                <w:rFonts w:ascii="Times New Roman" w:hAnsi="Times New Roman" w:eastAsia="仿宋_GB2312"/>
                <w:color w:val="333333"/>
                <w:kern w:val="0"/>
                <w:sz w:val="22"/>
              </w:rPr>
              <w:sym w:font="Wingdings" w:char="F0A8"/>
            </w:r>
            <w:r>
              <w:rPr>
                <w:rFonts w:ascii="Times New Roman" w:hAnsi="Times New Roman" w:eastAsia="仿宋_GB2312"/>
                <w:color w:val="333333"/>
                <w:kern w:val="0"/>
                <w:sz w:val="22"/>
              </w:rPr>
              <w:t xml:space="preserve"> 2.</w:t>
            </w:r>
            <w:r>
              <w:rPr>
                <w:rFonts w:hint="eastAsia" w:ascii="Times New Roman" w:hAnsi="Times New Roman" w:eastAsia="仿宋_GB2312"/>
                <w:color w:val="333333"/>
                <w:kern w:val="0"/>
                <w:sz w:val="22"/>
              </w:rPr>
              <w:t>存在上下游关系的参与集中的经营者，在上下游市场所占的市场份额均小于</w:t>
            </w:r>
            <w:r>
              <w:rPr>
                <w:rFonts w:ascii="Times New Roman" w:hAnsi="Times New Roman" w:eastAsia="仿宋_GB2312"/>
                <w:color w:val="333333"/>
                <w:kern w:val="0"/>
                <w:sz w:val="22"/>
              </w:rPr>
              <w:t>25%</w:t>
            </w:r>
            <w:r>
              <w:rPr>
                <w:rFonts w:hint="eastAsia" w:ascii="Times New Roman" w:hAnsi="Times New Roman" w:eastAsia="仿宋_GB2312"/>
                <w:color w:val="333333"/>
                <w:kern w:val="0"/>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jc w:val="center"/>
              <w:rPr>
                <w:rFonts w:ascii="Times New Roman" w:hAnsi="Times New Roman" w:eastAsia="仿宋_GB2312"/>
                <w:color w:val="333333"/>
                <w:kern w:val="0"/>
                <w:sz w:val="22"/>
              </w:rPr>
            </w:pPr>
          </w:p>
        </w:tc>
        <w:tc>
          <w:tcPr>
            <w:tcW w:w="6949" w:type="dxa"/>
            <w:gridSpan w:val="2"/>
          </w:tcPr>
          <w:p>
            <w:pPr>
              <w:rPr>
                <w:rFonts w:ascii="Times New Roman" w:hAnsi="Times New Roman" w:eastAsia="仿宋_GB2312"/>
                <w:color w:val="333333"/>
                <w:kern w:val="0"/>
                <w:sz w:val="22"/>
              </w:rPr>
            </w:pPr>
            <w:r>
              <w:rPr>
                <w:rFonts w:ascii="Times New Roman" w:hAnsi="Times New Roman" w:eastAsia="仿宋_GB2312"/>
                <w:color w:val="333333"/>
                <w:kern w:val="0"/>
                <w:sz w:val="22"/>
              </w:rPr>
              <w:sym w:font="Wingdings" w:char="F0A8"/>
            </w:r>
            <w:r>
              <w:rPr>
                <w:rFonts w:ascii="Times New Roman" w:hAnsi="Times New Roman" w:eastAsia="仿宋_GB2312"/>
                <w:color w:val="333333"/>
                <w:kern w:val="0"/>
                <w:sz w:val="22"/>
              </w:rPr>
              <w:t xml:space="preserve"> 3.</w:t>
            </w:r>
            <w:r>
              <w:rPr>
                <w:rFonts w:hint="eastAsia" w:ascii="Times New Roman" w:hAnsi="Times New Roman" w:eastAsia="仿宋_GB2312"/>
                <w:color w:val="333333"/>
                <w:kern w:val="0"/>
                <w:sz w:val="22"/>
              </w:rPr>
              <w:t>不在同一相关市场、也不存在上下游关系的参与集中的经营者，在与交易有关的每个市场所占的份额均小于</w:t>
            </w:r>
            <w:r>
              <w:rPr>
                <w:rFonts w:ascii="Times New Roman" w:hAnsi="Times New Roman" w:eastAsia="仿宋_GB2312"/>
                <w:color w:val="333333"/>
                <w:kern w:val="0"/>
                <w:sz w:val="22"/>
              </w:rPr>
              <w:t>25%</w:t>
            </w:r>
            <w:r>
              <w:rPr>
                <w:rFonts w:hint="eastAsia" w:ascii="Times New Roman" w:hAnsi="Times New Roman" w:eastAsia="仿宋_GB2312"/>
                <w:color w:val="333333"/>
                <w:kern w:val="0"/>
                <w:sz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2" w:hRule="atLeast"/>
        </w:trPr>
        <w:tc>
          <w:tcPr>
            <w:tcW w:w="1809" w:type="dxa"/>
            <w:vMerge w:val="continue"/>
            <w:shd w:val="clear" w:color="auto" w:fill="D9D9D9"/>
            <w:vAlign w:val="center"/>
          </w:tcPr>
          <w:p>
            <w:pPr>
              <w:jc w:val="center"/>
              <w:rPr>
                <w:rFonts w:ascii="Times New Roman" w:hAnsi="Times New Roman" w:eastAsia="仿宋_GB2312"/>
                <w:color w:val="333333"/>
                <w:kern w:val="0"/>
                <w:sz w:val="22"/>
              </w:rPr>
            </w:pPr>
          </w:p>
        </w:tc>
        <w:tc>
          <w:tcPr>
            <w:tcW w:w="6949" w:type="dxa"/>
            <w:gridSpan w:val="2"/>
          </w:tcPr>
          <w:p>
            <w:pPr>
              <w:rPr>
                <w:rFonts w:ascii="Times New Roman" w:hAnsi="Times New Roman" w:eastAsia="仿宋_GB2312"/>
                <w:color w:val="333333"/>
                <w:kern w:val="0"/>
                <w:sz w:val="22"/>
              </w:rPr>
            </w:pPr>
            <w:r>
              <w:rPr>
                <w:rFonts w:ascii="Times New Roman" w:hAnsi="Times New Roman" w:eastAsia="仿宋_GB2312"/>
                <w:color w:val="333333"/>
                <w:kern w:val="0"/>
                <w:sz w:val="22"/>
              </w:rPr>
              <w:sym w:font="Wingdings" w:char="F0A8"/>
            </w:r>
            <w:r>
              <w:rPr>
                <w:rFonts w:ascii="Times New Roman" w:hAnsi="Times New Roman" w:eastAsia="仿宋_GB2312"/>
                <w:color w:val="333333"/>
                <w:kern w:val="0"/>
                <w:sz w:val="22"/>
              </w:rPr>
              <w:t xml:space="preserve"> 4.</w:t>
            </w:r>
            <w:r>
              <w:rPr>
                <w:rFonts w:hint="eastAsia" w:ascii="Times New Roman" w:hAnsi="Times New Roman" w:eastAsia="仿宋_GB2312"/>
                <w:color w:val="333333"/>
                <w:kern w:val="0"/>
                <w:sz w:val="22"/>
              </w:rPr>
              <w:t>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jc w:val="center"/>
              <w:rPr>
                <w:rFonts w:ascii="Times New Roman" w:hAnsi="Times New Roman" w:eastAsia="仿宋_GB2312"/>
                <w:color w:val="333333"/>
                <w:kern w:val="0"/>
                <w:sz w:val="22"/>
              </w:rPr>
            </w:pPr>
          </w:p>
        </w:tc>
        <w:tc>
          <w:tcPr>
            <w:tcW w:w="6949" w:type="dxa"/>
            <w:gridSpan w:val="2"/>
          </w:tcPr>
          <w:p>
            <w:pPr>
              <w:rPr>
                <w:rFonts w:ascii="Times New Roman" w:hAnsi="Times New Roman" w:eastAsia="仿宋_GB2312"/>
                <w:color w:val="333333"/>
                <w:kern w:val="0"/>
                <w:sz w:val="22"/>
              </w:rPr>
            </w:pPr>
            <w:r>
              <w:rPr>
                <w:rFonts w:ascii="Times New Roman" w:hAnsi="Times New Roman" w:eastAsia="仿宋_GB2312"/>
                <w:color w:val="333333"/>
                <w:kern w:val="0"/>
                <w:sz w:val="22"/>
              </w:rPr>
              <w:sym w:font="Wingdings" w:char="F0A8"/>
            </w:r>
            <w:r>
              <w:rPr>
                <w:rFonts w:ascii="Times New Roman" w:hAnsi="Times New Roman" w:eastAsia="仿宋_GB2312"/>
                <w:color w:val="333333"/>
                <w:kern w:val="0"/>
                <w:sz w:val="22"/>
              </w:rPr>
              <w:t xml:space="preserve"> 5.</w:t>
            </w:r>
            <w:r>
              <w:rPr>
                <w:rFonts w:hint="eastAsia" w:ascii="Times New Roman" w:hAnsi="Times New Roman" w:eastAsia="仿宋_GB2312"/>
                <w:color w:val="333333"/>
                <w:kern w:val="0"/>
                <w:sz w:val="22"/>
              </w:rPr>
              <w:t>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trPr>
        <w:tc>
          <w:tcPr>
            <w:tcW w:w="1809" w:type="dxa"/>
            <w:vMerge w:val="continue"/>
            <w:shd w:val="clear" w:color="auto" w:fill="D9D9D9"/>
            <w:vAlign w:val="center"/>
          </w:tcPr>
          <w:p>
            <w:pPr>
              <w:jc w:val="center"/>
              <w:rPr>
                <w:rFonts w:ascii="Times New Roman" w:hAnsi="Times New Roman" w:eastAsia="仿宋_GB2312"/>
                <w:color w:val="333333"/>
                <w:kern w:val="0"/>
                <w:sz w:val="22"/>
              </w:rPr>
            </w:pPr>
          </w:p>
        </w:tc>
        <w:tc>
          <w:tcPr>
            <w:tcW w:w="6949" w:type="dxa"/>
            <w:gridSpan w:val="2"/>
          </w:tcPr>
          <w:p>
            <w:pPr>
              <w:rPr>
                <w:rFonts w:ascii="Times New Roman" w:hAnsi="Times New Roman" w:eastAsia="仿宋_GB2312"/>
                <w:color w:val="333333"/>
                <w:kern w:val="0"/>
                <w:sz w:val="22"/>
              </w:rPr>
            </w:pPr>
            <w:r>
              <w:rPr>
                <w:rFonts w:ascii="Times New Roman" w:hAnsi="Times New Roman" w:eastAsia="仿宋_GB2312"/>
                <w:color w:val="333333"/>
                <w:kern w:val="0"/>
                <w:sz w:val="22"/>
              </w:rPr>
              <w:sym w:font="Wingdings" w:char="F0A8"/>
            </w:r>
            <w:r>
              <w:rPr>
                <w:rFonts w:ascii="Times New Roman" w:hAnsi="Times New Roman" w:eastAsia="仿宋_GB2312"/>
                <w:color w:val="333333"/>
                <w:kern w:val="0"/>
                <w:sz w:val="22"/>
              </w:rPr>
              <w:t xml:space="preserve"> 6.</w:t>
            </w:r>
            <w:r>
              <w:rPr>
                <w:rFonts w:hint="eastAsia" w:ascii="Times New Roman" w:hAnsi="Times New Roman" w:eastAsia="仿宋_GB2312"/>
                <w:color w:val="333333"/>
                <w:kern w:val="0"/>
                <w:sz w:val="22"/>
              </w:rPr>
              <w:t>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jc w:val="center"/>
              <w:rPr>
                <w:rFonts w:ascii="Times New Roman" w:hAnsi="Times New Roman" w:eastAsia="仿宋_GB2312"/>
                <w:color w:val="333333"/>
                <w:kern w:val="0"/>
                <w:sz w:val="22"/>
              </w:rPr>
            </w:pPr>
            <w:r>
              <w:rPr>
                <w:rFonts w:hint="eastAsia" w:ascii="Times New Roman" w:hAnsi="Times New Roman" w:eastAsia="仿宋_GB2312"/>
                <w:color w:val="333333"/>
                <w:kern w:val="0"/>
                <w:sz w:val="22"/>
              </w:rPr>
              <w:t>备注</w:t>
            </w:r>
          </w:p>
        </w:tc>
        <w:tc>
          <w:tcPr>
            <w:tcW w:w="6949" w:type="dxa"/>
            <w:gridSpan w:val="2"/>
          </w:tcPr>
          <w:p>
            <w:pPr>
              <w:rPr>
                <w:rFonts w:ascii="Times New Roman" w:hAnsi="Times New Roman" w:eastAsia="仿宋_GB2312"/>
                <w:sz w:val="22"/>
              </w:rPr>
            </w:pPr>
            <w:r>
              <w:rPr>
                <w:rFonts w:hint="eastAsia" w:ascii="Times New Roman" w:hAnsi="Times New Roman" w:eastAsia="仿宋_GB2312"/>
                <w:sz w:val="22"/>
              </w:rPr>
              <w:t>横向重叠：</w:t>
            </w:r>
            <w:r>
              <w:rPr>
                <w:rFonts w:ascii="Times New Roman" w:hAnsi="Times New Roman" w:eastAsia="仿宋_GB2312"/>
                <w:sz w:val="22"/>
              </w:rPr>
              <w:t xml:space="preserve"> </w:t>
            </w:r>
          </w:p>
          <w:p>
            <w:pPr>
              <w:rPr>
                <w:rFonts w:ascii="Times New Roman" w:hAnsi="Times New Roman" w:eastAsia="仿宋_GB2312"/>
                <w:sz w:val="22"/>
              </w:rPr>
            </w:pPr>
            <w:r>
              <w:rPr>
                <w:rFonts w:ascii="Times New Roman" w:hAnsi="Times New Roman" w:eastAsia="仿宋_GB2312"/>
                <w:sz w:val="22"/>
              </w:rPr>
              <w:t>2021</w:t>
            </w:r>
            <w:r>
              <w:rPr>
                <w:rFonts w:hint="eastAsia" w:ascii="Times New Roman" w:hAnsi="Times New Roman" w:eastAsia="仿宋_GB2312"/>
                <w:sz w:val="22"/>
              </w:rPr>
              <w:t>年中国境内长沙市大型零售商业地产开发和运营市场：</w:t>
            </w:r>
          </w:p>
          <w:p>
            <w:pPr>
              <w:rPr>
                <w:rFonts w:ascii="Times New Roman" w:hAnsi="Times New Roman" w:eastAsia="仿宋_GB2312"/>
                <w:sz w:val="22"/>
              </w:rPr>
            </w:pPr>
            <w:r>
              <w:rPr>
                <w:rFonts w:hint="eastAsia" w:ascii="Times New Roman" w:hAnsi="Times New Roman" w:eastAsia="仿宋_GB2312"/>
                <w:sz w:val="22"/>
              </w:rPr>
              <w:t>印力咨询</w:t>
            </w:r>
            <w:r>
              <w:rPr>
                <w:rFonts w:ascii="Times New Roman" w:hAnsi="Times New Roman" w:eastAsia="仿宋_GB2312"/>
                <w:sz w:val="22"/>
              </w:rPr>
              <w:t>[0-5]%</w:t>
            </w:r>
            <w:r>
              <w:rPr>
                <w:rFonts w:hint="eastAsia" w:ascii="Times New Roman" w:hAnsi="Times New Roman" w:eastAsia="仿宋_GB2312"/>
                <w:sz w:val="22"/>
              </w:rPr>
              <w:t>；盈富置业</w:t>
            </w:r>
            <w:r>
              <w:rPr>
                <w:rFonts w:ascii="Times New Roman" w:hAnsi="Times New Roman" w:eastAsia="仿宋_GB2312"/>
                <w:sz w:val="22"/>
              </w:rPr>
              <w:t>[0-5]%</w:t>
            </w:r>
            <w:r>
              <w:rPr>
                <w:rFonts w:hint="eastAsia" w:ascii="Times New Roman" w:hAnsi="Times New Roman" w:eastAsia="仿宋_GB2312"/>
                <w:sz w:val="22"/>
              </w:rPr>
              <w:t>，双方合计：</w:t>
            </w:r>
            <w:r>
              <w:rPr>
                <w:rFonts w:ascii="Times New Roman" w:hAnsi="Times New Roman" w:eastAsia="仿宋_GB2312"/>
                <w:sz w:val="22"/>
              </w:rPr>
              <w:t>[0-5]%</w:t>
            </w:r>
            <w:r>
              <w:rPr>
                <w:rFonts w:hint="eastAsia" w:ascii="Times New Roman" w:hAnsi="Times New Roman" w:eastAsia="仿宋_GB2312"/>
                <w:sz w:val="22"/>
              </w:rPr>
              <w:t>。</w:t>
            </w:r>
          </w:p>
        </w:tc>
      </w:tr>
    </w:tbl>
    <w:p>
      <w:pPr>
        <w:snapToGrid w:val="0"/>
        <w:spacing w:line="240" w:lineRule="exact"/>
        <w:jc w:val="left"/>
        <w:rPr>
          <w:rFonts w:ascii="Times New Roman" w:hAnsi="Times New Roman" w:eastAsia="仿宋_GB2312"/>
          <w:sz w:val="22"/>
        </w:rPr>
      </w:pPr>
    </w:p>
    <w:p>
      <w:pPr>
        <w:snapToGrid w:val="0"/>
        <w:spacing w:line="500" w:lineRule="exact"/>
        <w:jc w:val="left"/>
        <w:rPr>
          <w:rFonts w:ascii="Times New Roman" w:hAnsi="Times New Roman" w:eastAsia="仿宋_GB2312"/>
          <w:sz w:val="22"/>
        </w:rPr>
      </w:pPr>
      <w:r>
        <w:rPr>
          <w:rFonts w:hint="eastAsia" w:ascii="Times New Roman" w:hAnsi="Times New Roman" w:eastAsia="仿宋_GB2312"/>
          <w:sz w:val="22"/>
        </w:rPr>
        <w:t>注解：</w:t>
      </w:r>
    </w:p>
    <w:p>
      <w:pPr>
        <w:snapToGrid w:val="0"/>
        <w:spacing w:line="500" w:lineRule="exact"/>
        <w:ind w:firstLine="440" w:firstLineChars="200"/>
        <w:jc w:val="left"/>
        <w:rPr>
          <w:rFonts w:ascii="Times New Roman" w:hAnsi="Times New Roman" w:eastAsia="仿宋_GB2312"/>
          <w:sz w:val="22"/>
        </w:rPr>
      </w:pPr>
      <w:r>
        <w:rPr>
          <w:rFonts w:ascii="Times New Roman" w:hAnsi="Times New Roman" w:eastAsia="仿宋_GB2312"/>
          <w:sz w:val="22"/>
        </w:rPr>
        <w:t>1</w:t>
      </w:r>
      <w:r>
        <w:rPr>
          <w:rFonts w:hint="eastAsia" w:ascii="Times New Roman" w:hAnsi="Times New Roman" w:eastAsia="仿宋_GB2312"/>
          <w:sz w:val="22"/>
        </w:rPr>
        <w:t>、申报方申请简易案件的理由是基于</w:t>
      </w:r>
      <w:r>
        <w:rPr>
          <w:rFonts w:ascii="Times New Roman" w:hAnsi="Times New Roman" w:eastAsia="仿宋_GB2312"/>
          <w:sz w:val="22"/>
        </w:rPr>
        <w:t>1-3</w:t>
      </w:r>
      <w:r>
        <w:rPr>
          <w:rFonts w:hint="eastAsia" w:ascii="Times New Roman" w:hAnsi="Times New Roman" w:eastAsia="仿宋_GB2312"/>
          <w:sz w:val="22"/>
        </w:rPr>
        <w:t>项时，须在备注中说明界定的相关商品市场和相关地域市场（无须阐述界定理由），以及相关市场份额；市场份额可以区间形式提供，区间幅度不应超过</w:t>
      </w:r>
      <w:r>
        <w:rPr>
          <w:rFonts w:ascii="Times New Roman" w:hAnsi="Times New Roman" w:eastAsia="仿宋_GB2312"/>
          <w:sz w:val="22"/>
        </w:rPr>
        <w:t>5%</w:t>
      </w:r>
      <w:r>
        <w:rPr>
          <w:rFonts w:hint="eastAsia" w:ascii="Times New Roman" w:hAnsi="Times New Roman" w:eastAsia="仿宋_GB2312"/>
          <w:sz w:val="22"/>
        </w:rPr>
        <w:t>。</w:t>
      </w:r>
      <w:r>
        <w:rPr>
          <w:rFonts w:ascii="Times New Roman" w:hAnsi="Times New Roman" w:eastAsia="仿宋_GB2312"/>
          <w:sz w:val="22"/>
        </w:rPr>
        <w:t>1-3</w:t>
      </w:r>
      <w:r>
        <w:rPr>
          <w:rFonts w:hint="eastAsia" w:ascii="Times New Roman" w:hAnsi="Times New Roman" w:eastAsia="仿宋_GB2312"/>
          <w:sz w:val="22"/>
        </w:rPr>
        <w:t>项可以多选，也可单选；没有勾选的，视为本集中不涉及该类型交易。</w:t>
      </w:r>
    </w:p>
    <w:p>
      <w:pPr>
        <w:spacing w:line="500" w:lineRule="exact"/>
        <w:ind w:firstLine="440" w:firstLineChars="200"/>
        <w:rPr>
          <w:rFonts w:ascii="Times New Roman" w:hAnsi="Times New Roman" w:eastAsia="仿宋_GB2312"/>
          <w:sz w:val="22"/>
        </w:rPr>
      </w:pPr>
      <w:r>
        <w:rPr>
          <w:rFonts w:ascii="Times New Roman" w:hAnsi="Times New Roman" w:eastAsia="仿宋_GB2312"/>
          <w:sz w:val="22"/>
        </w:rPr>
        <w:t>2</w:t>
      </w:r>
      <w:r>
        <w:rPr>
          <w:rFonts w:hint="eastAsia" w:ascii="Times New Roman" w:hAnsi="Times New Roman" w:eastAsia="仿宋_GB2312"/>
          <w:sz w:val="22"/>
        </w:rPr>
        <w:t>、申报方申请简易案件的理由是基于第</w:t>
      </w:r>
      <w:r>
        <w:rPr>
          <w:rFonts w:ascii="Times New Roman" w:hAnsi="Times New Roman" w:eastAsia="仿宋_GB2312"/>
          <w:sz w:val="22"/>
        </w:rPr>
        <w:t>4</w:t>
      </w:r>
      <w:r>
        <w:rPr>
          <w:rFonts w:hint="eastAsia" w:ascii="Times New Roman" w:hAnsi="Times New Roman" w:eastAsia="仿宋_GB2312"/>
          <w:sz w:val="22"/>
        </w:rPr>
        <w:t>项、第</w:t>
      </w:r>
      <w:r>
        <w:rPr>
          <w:rFonts w:ascii="Times New Roman" w:hAnsi="Times New Roman" w:eastAsia="仿宋_GB2312"/>
          <w:sz w:val="22"/>
        </w:rPr>
        <w:t>5</w:t>
      </w:r>
      <w:r>
        <w:rPr>
          <w:rFonts w:hint="eastAsia" w:ascii="Times New Roman" w:hAnsi="Times New Roman" w:eastAsia="仿宋_GB2312"/>
          <w:sz w:val="22"/>
        </w:rPr>
        <w:t>项时，无须在备注中说明相关市场和市场份额。</w:t>
      </w:r>
      <w:r>
        <w:rPr>
          <w:rFonts w:ascii="Times New Roman" w:hAnsi="Times New Roman" w:eastAsia="仿宋_GB2312"/>
          <w:sz w:val="22"/>
        </w:rPr>
        <w:br w:type="textWrapping"/>
      </w:r>
      <w:r>
        <w:rPr>
          <w:rFonts w:ascii="Times New Roman" w:hAnsi="Times New Roman" w:eastAsia="仿宋_GB2312"/>
          <w:sz w:val="22"/>
        </w:rPr>
        <w:t xml:space="preserve">    3</w:t>
      </w:r>
      <w:r>
        <w:rPr>
          <w:rFonts w:hint="eastAsia" w:ascii="Times New Roman" w:hAnsi="Times New Roman" w:eastAsia="仿宋_GB2312"/>
          <w:sz w:val="22"/>
        </w:rPr>
        <w:t>、由两个或两个以上经营者共同控制的合营企业，通过集中被其中的一个经营者控制，如果该经营者与合营企业属于同一相关市场的竞争者，则申报方在申请简易案件时，须同时勾选第</w:t>
      </w:r>
      <w:r>
        <w:rPr>
          <w:rFonts w:ascii="Times New Roman" w:hAnsi="Times New Roman" w:eastAsia="仿宋_GB2312"/>
          <w:sz w:val="22"/>
        </w:rPr>
        <w:t>1</w:t>
      </w:r>
      <w:r>
        <w:rPr>
          <w:rFonts w:hint="eastAsia" w:ascii="Times New Roman" w:hAnsi="Times New Roman" w:eastAsia="仿宋_GB2312"/>
          <w:sz w:val="22"/>
        </w:rPr>
        <w:t>项和第</w:t>
      </w:r>
      <w:r>
        <w:rPr>
          <w:rFonts w:ascii="Times New Roman" w:hAnsi="Times New Roman" w:eastAsia="仿宋_GB2312"/>
          <w:sz w:val="22"/>
        </w:rPr>
        <w:t>6</w:t>
      </w:r>
      <w:r>
        <w:rPr>
          <w:rFonts w:hint="eastAsia" w:ascii="Times New Roman" w:hAnsi="Times New Roman" w:eastAsia="仿宋_GB2312"/>
          <w:sz w:val="22"/>
        </w:rPr>
        <w:t>项理由，并在备注中说明界定的相关商品市场和相关地域市场（无须阐述界定理由），以及相关市场份额。市场份额可以区间形式提供，区间幅度不应超过</w:t>
      </w:r>
      <w:r>
        <w:rPr>
          <w:rFonts w:ascii="Times New Roman" w:hAnsi="Times New Roman" w:eastAsia="仿宋_GB2312"/>
          <w:sz w:val="22"/>
        </w:rPr>
        <w:t>5%</w:t>
      </w:r>
      <w:r>
        <w:rPr>
          <w:rFonts w:hint="eastAsia" w:ascii="Times New Roman" w:hAnsi="Times New Roman" w:eastAsia="仿宋_GB2312"/>
          <w:sz w:val="22"/>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ESI仿宋-GB2312">
    <w:panose1 w:val="02000500000000000000"/>
    <w:charset w:val="86"/>
    <w:family w:val="auto"/>
    <w:pitch w:val="default"/>
    <w:sig w:usb0="800002AF" w:usb1="084F6CF8" w:usb2="00000010" w:usb3="00000000" w:csb0="0004000F" w:csb1="00000000"/>
  </w:font>
  <w:font w:name="等线">
    <w:altName w:val="汉仪中宋简"/>
    <w:panose1 w:val="02010600030101010101"/>
    <w:charset w:val="86"/>
    <w:family w:val="auto"/>
    <w:pitch w:val="default"/>
    <w:sig w:usb0="00000000" w:usb1="00000000" w:usb2="00000016" w:usb3="00000000" w:csb0="0004000F" w:csb1="00000000"/>
  </w:font>
  <w:font w:name="等线">
    <w:altName w:val="仿宋"/>
    <w:panose1 w:val="00000000000000000000"/>
    <w:charset w:val="86"/>
    <w:family w:val="auto"/>
    <w:pitch w:val="default"/>
    <w:sig w:usb0="00000000" w:usb1="00000000" w:usb2="00000000" w:usb3="00000000" w:csb0="00000000" w:csb1="00000000"/>
  </w:font>
  <w:font w:name="等线">
    <w:altName w:val="仿宋"/>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DejaVu Sans">
    <w:panose1 w:val="020B0603030804020204"/>
    <w:charset w:val="00"/>
    <w:family w:val="auto"/>
    <w:pitch w:val="default"/>
    <w:sig w:usb0="E7006EFF" w:usb1="D200FDFF" w:usb2="0A246029" w:usb3="0400200C" w:csb0="600001FF" w:csb1="DFFF0000"/>
  </w:font>
  <w:font w:name="Liberation Serif">
    <w:panose1 w:val="02020603050405020304"/>
    <w:charset w:val="00"/>
    <w:family w:val="auto"/>
    <w:pitch w:val="default"/>
    <w:sig w:usb0="A00002AF" w:usb1="500078FB" w:usb2="00000000" w:usb3="00000000" w:csb0="6000009F" w:csb1="DFD70000"/>
  </w:font>
  <w:font w:name="Microsoft YaHei">
    <w:altName w:val="黑体"/>
    <w:panose1 w:val="00000000000000000000"/>
    <w:charset w:val="00"/>
    <w:family w:val="auto"/>
    <w:pitch w:val="default"/>
    <w:sig w:usb0="00000000" w:usb1="00000000" w:usb2="00000000" w:usb3="00000000" w:csb0="00000000" w:csb1="00000000"/>
  </w:font>
  <w:font w:name="Tahoma">
    <w:altName w:val="Droid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3938750"/>
      <w:docPartObj>
        <w:docPartGallery w:val="autotext"/>
      </w:docPartObj>
    </w:sdtPr>
    <w:sdtEndPr>
      <w:rPr>
        <w:rFonts w:ascii="Times New Roman" w:hAnsi="Times New Roman"/>
      </w:rPr>
    </w:sdtEndPr>
    <w:sdtContent>
      <w:p>
        <w:pPr>
          <w:pStyle w:val="4"/>
          <w:jc w:val="center"/>
          <w:rPr>
            <w:rFonts w:ascii="Times New Roman" w:hAnsi="Times New Roman"/>
          </w:rP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revisionView w:markup="0"/>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365A"/>
    <w:rsid w:val="00011483"/>
    <w:rsid w:val="00014FC1"/>
    <w:rsid w:val="0002171C"/>
    <w:rsid w:val="00037065"/>
    <w:rsid w:val="00037116"/>
    <w:rsid w:val="000603B0"/>
    <w:rsid w:val="0006636C"/>
    <w:rsid w:val="000707A2"/>
    <w:rsid w:val="00081C66"/>
    <w:rsid w:val="00083EBD"/>
    <w:rsid w:val="00084E2D"/>
    <w:rsid w:val="000879A7"/>
    <w:rsid w:val="00091700"/>
    <w:rsid w:val="0009214D"/>
    <w:rsid w:val="0009414B"/>
    <w:rsid w:val="00096C95"/>
    <w:rsid w:val="00097D26"/>
    <w:rsid w:val="000C0BD7"/>
    <w:rsid w:val="000D7EBA"/>
    <w:rsid w:val="000E1DFE"/>
    <w:rsid w:val="000E7DF2"/>
    <w:rsid w:val="0011223F"/>
    <w:rsid w:val="001164CD"/>
    <w:rsid w:val="001273DC"/>
    <w:rsid w:val="001430C8"/>
    <w:rsid w:val="00154B65"/>
    <w:rsid w:val="00155592"/>
    <w:rsid w:val="00155717"/>
    <w:rsid w:val="001721E9"/>
    <w:rsid w:val="00176997"/>
    <w:rsid w:val="001837A3"/>
    <w:rsid w:val="001E554B"/>
    <w:rsid w:val="002047CB"/>
    <w:rsid w:val="002121B2"/>
    <w:rsid w:val="0021253C"/>
    <w:rsid w:val="0021619C"/>
    <w:rsid w:val="00225248"/>
    <w:rsid w:val="00227844"/>
    <w:rsid w:val="002278C7"/>
    <w:rsid w:val="00231D28"/>
    <w:rsid w:val="00247FF8"/>
    <w:rsid w:val="002556AE"/>
    <w:rsid w:val="002A1585"/>
    <w:rsid w:val="002B7861"/>
    <w:rsid w:val="002F5F95"/>
    <w:rsid w:val="002F72A4"/>
    <w:rsid w:val="00322FB7"/>
    <w:rsid w:val="00344A1C"/>
    <w:rsid w:val="003643AC"/>
    <w:rsid w:val="003708E9"/>
    <w:rsid w:val="00387C7B"/>
    <w:rsid w:val="0039444E"/>
    <w:rsid w:val="003A29D0"/>
    <w:rsid w:val="003A61DC"/>
    <w:rsid w:val="003B23BB"/>
    <w:rsid w:val="003C0AEB"/>
    <w:rsid w:val="003C1714"/>
    <w:rsid w:val="003D2B29"/>
    <w:rsid w:val="003E5DBC"/>
    <w:rsid w:val="003F0C5E"/>
    <w:rsid w:val="003F7EAE"/>
    <w:rsid w:val="004061E7"/>
    <w:rsid w:val="004137CA"/>
    <w:rsid w:val="00415A67"/>
    <w:rsid w:val="004343E6"/>
    <w:rsid w:val="00442B8B"/>
    <w:rsid w:val="0044374A"/>
    <w:rsid w:val="00453DB6"/>
    <w:rsid w:val="004876AC"/>
    <w:rsid w:val="004A45D9"/>
    <w:rsid w:val="004A5C17"/>
    <w:rsid w:val="004D050A"/>
    <w:rsid w:val="004E2E18"/>
    <w:rsid w:val="004E53BB"/>
    <w:rsid w:val="004F7688"/>
    <w:rsid w:val="00503F87"/>
    <w:rsid w:val="005212F4"/>
    <w:rsid w:val="00527025"/>
    <w:rsid w:val="005424FD"/>
    <w:rsid w:val="00555350"/>
    <w:rsid w:val="005831F4"/>
    <w:rsid w:val="0059310C"/>
    <w:rsid w:val="005A29AF"/>
    <w:rsid w:val="005B3AC8"/>
    <w:rsid w:val="005E25E2"/>
    <w:rsid w:val="005F473B"/>
    <w:rsid w:val="005F72C8"/>
    <w:rsid w:val="00603B04"/>
    <w:rsid w:val="00607776"/>
    <w:rsid w:val="00612590"/>
    <w:rsid w:val="00616274"/>
    <w:rsid w:val="00623031"/>
    <w:rsid w:val="00635B25"/>
    <w:rsid w:val="006467D8"/>
    <w:rsid w:val="00657517"/>
    <w:rsid w:val="00673BCC"/>
    <w:rsid w:val="006917C0"/>
    <w:rsid w:val="006970D8"/>
    <w:rsid w:val="006A531B"/>
    <w:rsid w:val="006C246E"/>
    <w:rsid w:val="006D0D0E"/>
    <w:rsid w:val="006D6C9A"/>
    <w:rsid w:val="006D6D97"/>
    <w:rsid w:val="006F219A"/>
    <w:rsid w:val="006F7693"/>
    <w:rsid w:val="0070182C"/>
    <w:rsid w:val="00710140"/>
    <w:rsid w:val="007455F4"/>
    <w:rsid w:val="007544B6"/>
    <w:rsid w:val="00756FE2"/>
    <w:rsid w:val="0078013A"/>
    <w:rsid w:val="00782199"/>
    <w:rsid w:val="007916B1"/>
    <w:rsid w:val="00792B9B"/>
    <w:rsid w:val="007A7644"/>
    <w:rsid w:val="007B1F41"/>
    <w:rsid w:val="007F2275"/>
    <w:rsid w:val="0082056A"/>
    <w:rsid w:val="00831DFB"/>
    <w:rsid w:val="00842A25"/>
    <w:rsid w:val="00863B9B"/>
    <w:rsid w:val="008664EF"/>
    <w:rsid w:val="0086698D"/>
    <w:rsid w:val="008845B4"/>
    <w:rsid w:val="008918F7"/>
    <w:rsid w:val="00893FA1"/>
    <w:rsid w:val="00897A6F"/>
    <w:rsid w:val="008A04B8"/>
    <w:rsid w:val="008A1074"/>
    <w:rsid w:val="008B203C"/>
    <w:rsid w:val="008B7D2E"/>
    <w:rsid w:val="008E498A"/>
    <w:rsid w:val="00903D16"/>
    <w:rsid w:val="00904270"/>
    <w:rsid w:val="00915F0F"/>
    <w:rsid w:val="009373A6"/>
    <w:rsid w:val="009458CE"/>
    <w:rsid w:val="009532DF"/>
    <w:rsid w:val="00965990"/>
    <w:rsid w:val="00997019"/>
    <w:rsid w:val="009A060A"/>
    <w:rsid w:val="009A4835"/>
    <w:rsid w:val="009A5029"/>
    <w:rsid w:val="009C1A53"/>
    <w:rsid w:val="009C217A"/>
    <w:rsid w:val="009D38D5"/>
    <w:rsid w:val="009E156A"/>
    <w:rsid w:val="009E3FAE"/>
    <w:rsid w:val="009E5671"/>
    <w:rsid w:val="00A05F36"/>
    <w:rsid w:val="00A06D87"/>
    <w:rsid w:val="00A101F6"/>
    <w:rsid w:val="00A2747A"/>
    <w:rsid w:val="00A4363F"/>
    <w:rsid w:val="00A47BF5"/>
    <w:rsid w:val="00A53F26"/>
    <w:rsid w:val="00A63674"/>
    <w:rsid w:val="00A64B02"/>
    <w:rsid w:val="00A6739B"/>
    <w:rsid w:val="00A72FE6"/>
    <w:rsid w:val="00A848DE"/>
    <w:rsid w:val="00AA00C2"/>
    <w:rsid w:val="00AA061F"/>
    <w:rsid w:val="00AA0CC5"/>
    <w:rsid w:val="00AA1AFD"/>
    <w:rsid w:val="00AA2BEF"/>
    <w:rsid w:val="00AC43AC"/>
    <w:rsid w:val="00AF32F5"/>
    <w:rsid w:val="00B14FED"/>
    <w:rsid w:val="00B16AFE"/>
    <w:rsid w:val="00B2699E"/>
    <w:rsid w:val="00B3353C"/>
    <w:rsid w:val="00B34B9F"/>
    <w:rsid w:val="00B65DD5"/>
    <w:rsid w:val="00B70E71"/>
    <w:rsid w:val="00B77C58"/>
    <w:rsid w:val="00B77EF7"/>
    <w:rsid w:val="00B81805"/>
    <w:rsid w:val="00B91486"/>
    <w:rsid w:val="00BA232F"/>
    <w:rsid w:val="00BC0276"/>
    <w:rsid w:val="00BC30F5"/>
    <w:rsid w:val="00BD0995"/>
    <w:rsid w:val="00BD0D99"/>
    <w:rsid w:val="00BD10B6"/>
    <w:rsid w:val="00BE26B3"/>
    <w:rsid w:val="00BE7128"/>
    <w:rsid w:val="00BF7194"/>
    <w:rsid w:val="00C06588"/>
    <w:rsid w:val="00C07076"/>
    <w:rsid w:val="00C11B04"/>
    <w:rsid w:val="00C32415"/>
    <w:rsid w:val="00C35EDD"/>
    <w:rsid w:val="00C625D6"/>
    <w:rsid w:val="00C6341B"/>
    <w:rsid w:val="00C65F98"/>
    <w:rsid w:val="00C84515"/>
    <w:rsid w:val="00C863D1"/>
    <w:rsid w:val="00C93EE3"/>
    <w:rsid w:val="00CB00DF"/>
    <w:rsid w:val="00CB1A9D"/>
    <w:rsid w:val="00CB287C"/>
    <w:rsid w:val="00CC6B5F"/>
    <w:rsid w:val="00CD5AD2"/>
    <w:rsid w:val="00CD7B78"/>
    <w:rsid w:val="00D02B09"/>
    <w:rsid w:val="00D4291D"/>
    <w:rsid w:val="00D61668"/>
    <w:rsid w:val="00D64A2A"/>
    <w:rsid w:val="00D73C72"/>
    <w:rsid w:val="00D81976"/>
    <w:rsid w:val="00DA4265"/>
    <w:rsid w:val="00DA5A8E"/>
    <w:rsid w:val="00DA609F"/>
    <w:rsid w:val="00DE0A77"/>
    <w:rsid w:val="00DE2702"/>
    <w:rsid w:val="00DF0A95"/>
    <w:rsid w:val="00DF3D5B"/>
    <w:rsid w:val="00E0592B"/>
    <w:rsid w:val="00E07B6B"/>
    <w:rsid w:val="00E11B10"/>
    <w:rsid w:val="00E23275"/>
    <w:rsid w:val="00E27EC9"/>
    <w:rsid w:val="00E31738"/>
    <w:rsid w:val="00E54514"/>
    <w:rsid w:val="00E56E02"/>
    <w:rsid w:val="00E832A2"/>
    <w:rsid w:val="00E86786"/>
    <w:rsid w:val="00E87D79"/>
    <w:rsid w:val="00EA045B"/>
    <w:rsid w:val="00EB093F"/>
    <w:rsid w:val="00EB61AD"/>
    <w:rsid w:val="00EC22AC"/>
    <w:rsid w:val="00EC7441"/>
    <w:rsid w:val="00ED2F80"/>
    <w:rsid w:val="00ED60DF"/>
    <w:rsid w:val="00EE3867"/>
    <w:rsid w:val="00EE39F3"/>
    <w:rsid w:val="00EE7453"/>
    <w:rsid w:val="00EE7A40"/>
    <w:rsid w:val="00EF42DD"/>
    <w:rsid w:val="00EF5FB9"/>
    <w:rsid w:val="00F10E7C"/>
    <w:rsid w:val="00F1624E"/>
    <w:rsid w:val="00F32F8A"/>
    <w:rsid w:val="00F331B0"/>
    <w:rsid w:val="00F40985"/>
    <w:rsid w:val="00F40F87"/>
    <w:rsid w:val="00F42E0E"/>
    <w:rsid w:val="00F46E0E"/>
    <w:rsid w:val="00F564AF"/>
    <w:rsid w:val="00F65830"/>
    <w:rsid w:val="00F70290"/>
    <w:rsid w:val="00F7794A"/>
    <w:rsid w:val="00F810AA"/>
    <w:rsid w:val="00F91A2E"/>
    <w:rsid w:val="00F92424"/>
    <w:rsid w:val="00F94E15"/>
    <w:rsid w:val="00F97BEA"/>
    <w:rsid w:val="00FB43EC"/>
    <w:rsid w:val="00FB6B40"/>
    <w:rsid w:val="9F7BA7EE"/>
    <w:rsid w:val="DFFFAE1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4"/>
    <w:semiHidden/>
    <w:unhideWhenUsed/>
    <w:qFormat/>
    <w:uiPriority w:val="99"/>
    <w:pPr>
      <w:jc w:val="left"/>
    </w:pPr>
  </w:style>
  <w:style w:type="paragraph" w:styleId="3">
    <w:name w:val="Balloon Text"/>
    <w:basedOn w:val="1"/>
    <w:link w:val="13"/>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5"/>
    <w:semiHidden/>
    <w:unhideWhenUsed/>
    <w:qFormat/>
    <w:uiPriority w:val="99"/>
    <w:rPr>
      <w:b/>
      <w:bCs/>
    </w:rPr>
  </w:style>
  <w:style w:type="character" w:styleId="9">
    <w:name w:val="annotation reference"/>
    <w:basedOn w:val="8"/>
    <w:semiHidden/>
    <w:unhideWhenUsed/>
    <w:qFormat/>
    <w:uiPriority w:val="99"/>
    <w:rPr>
      <w:sz w:val="21"/>
      <w:szCs w:val="21"/>
    </w:rPr>
  </w:style>
  <w:style w:type="character" w:customStyle="1" w:styleId="10">
    <w:name w:val="页眉 字符"/>
    <w:basedOn w:val="8"/>
    <w:link w:val="5"/>
    <w:qFormat/>
    <w:uiPriority w:val="99"/>
    <w:rPr>
      <w:rFonts w:ascii="Calibri" w:hAnsi="Calibri" w:eastAsia="宋体" w:cs="Times New Roman"/>
      <w:sz w:val="18"/>
      <w:szCs w:val="18"/>
    </w:rPr>
  </w:style>
  <w:style w:type="character" w:customStyle="1" w:styleId="11">
    <w:name w:val="页脚 字符"/>
    <w:basedOn w:val="8"/>
    <w:link w:val="4"/>
    <w:qFormat/>
    <w:uiPriority w:val="99"/>
    <w:rPr>
      <w:rFonts w:ascii="Calibri" w:hAnsi="Calibri" w:eastAsia="宋体" w:cs="Times New Roman"/>
      <w:sz w:val="18"/>
      <w:szCs w:val="18"/>
    </w:rPr>
  </w:style>
  <w:style w:type="paragraph" w:styleId="12">
    <w:name w:val="List Paragraph"/>
    <w:basedOn w:val="1"/>
    <w:qFormat/>
    <w:uiPriority w:val="34"/>
    <w:pPr>
      <w:ind w:firstLine="420" w:firstLineChars="200"/>
    </w:pPr>
  </w:style>
  <w:style w:type="character" w:customStyle="1" w:styleId="13">
    <w:name w:val="批注框文本 字符"/>
    <w:basedOn w:val="8"/>
    <w:link w:val="3"/>
    <w:semiHidden/>
    <w:qFormat/>
    <w:uiPriority w:val="99"/>
    <w:rPr>
      <w:rFonts w:ascii="Calibri" w:hAnsi="Calibri" w:eastAsia="宋体" w:cs="Times New Roman"/>
      <w:sz w:val="18"/>
      <w:szCs w:val="18"/>
    </w:rPr>
  </w:style>
  <w:style w:type="character" w:customStyle="1" w:styleId="14">
    <w:name w:val="批注文字 字符"/>
    <w:basedOn w:val="8"/>
    <w:link w:val="2"/>
    <w:semiHidden/>
    <w:qFormat/>
    <w:uiPriority w:val="99"/>
    <w:rPr>
      <w:rFonts w:ascii="Calibri" w:hAnsi="Calibri" w:eastAsia="宋体" w:cs="Times New Roman"/>
    </w:rPr>
  </w:style>
  <w:style w:type="character" w:customStyle="1" w:styleId="15">
    <w:name w:val="批注主题 字符"/>
    <w:basedOn w:val="14"/>
    <w:link w:val="6"/>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207</Words>
  <Characters>1181</Characters>
  <Lines>9</Lines>
  <Paragraphs>2</Paragraphs>
  <TotalTime>2</TotalTime>
  <ScaleCrop>false</ScaleCrop>
  <LinksUpToDate>false</LinksUpToDate>
  <CharactersWithSpaces>1386</CharactersWithSpaces>
  <Application>WPS Office_11.8.2.10458_F1E327BC-269C-435d-A152-05C5408002CA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2022-05-06T02:18:00Z</dcterms:created>
  <dc:creator>陈媚</dc:creator>
  <cp:lastModifiedBy>greatwall</cp:lastModifiedBy>
  <cp:lastPrinted>2019-01-29T17:56:00Z</cp:lastPrinted>
  <dcterms:modified xsi:type="dcterms:W3CDTF">2022-05-06T16:17:43Z</dcterms:modified>
  <dc:title>经营者集中简易案件公示表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2052-11.8.2.10458</vt:lpwstr>
  </property>
</Properties>
</file>