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40" w:lineRule="exact"/>
        <w:jc w:val="center"/>
        <w:rPr>
          <w:rFonts w:ascii="SimHei" w:hAnsi="SimHei" w:eastAsia="SimHei"/>
          <w:b/>
          <w:bCs/>
          <w:sz w:val="36"/>
          <w:szCs w:val="36"/>
        </w:rPr>
      </w:pPr>
      <w:bookmarkStart w:id="0" w:name="_GoBack"/>
      <w:bookmarkEnd w:id="0"/>
    </w:p>
    <w:p>
      <w:pPr>
        <w:snapToGrid w:val="0"/>
        <w:jc w:val="center"/>
        <w:rPr>
          <w:rFonts w:ascii="SimHei" w:hAnsi="SimHei" w:eastAsia="SimHei"/>
          <w:b/>
          <w:bCs/>
          <w:sz w:val="36"/>
          <w:szCs w:val="36"/>
        </w:rPr>
      </w:pPr>
      <w:r>
        <w:rPr>
          <w:rFonts w:hint="eastAsia" w:ascii="SimHei" w:hAnsi="SimHei" w:eastAsia="SimHei"/>
          <w:b/>
          <w:bCs/>
          <w:sz w:val="36"/>
          <w:szCs w:val="36"/>
        </w:rPr>
        <w:t>经营者集中简易案件公示表</w:t>
      </w:r>
    </w:p>
    <w:p>
      <w:pPr>
        <w:snapToGrid w:val="0"/>
        <w:spacing w:line="340" w:lineRule="exact"/>
        <w:rPr>
          <w:rFonts w:ascii="Times" w:hAnsi="Times"/>
          <w:sz w:val="24"/>
          <w:szCs w:val="24"/>
        </w:rPr>
      </w:pPr>
    </w:p>
    <w:tbl>
      <w:tblPr>
        <w:tblStyle w:val="6"/>
        <w:tblW w:w="8648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270"/>
        <w:gridCol w:w="5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  <w:r>
              <w:rPr>
                <w:rFonts w:hint="eastAsia" w:ascii="宋体" w:hAnsi="宋体" w:cs="Times"/>
                <w:b/>
                <w:sz w:val="24"/>
                <w:szCs w:val="24"/>
              </w:rPr>
              <w:t>案件名称</w:t>
            </w:r>
          </w:p>
        </w:tc>
        <w:tc>
          <w:tcPr>
            <w:tcW w:w="7088" w:type="dxa"/>
            <w:gridSpan w:val="2"/>
            <w:vAlign w:val="center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ascii="宋体" w:hAnsi="宋体" w:cs="Times"/>
                <w:kern w:val="0"/>
                <w:sz w:val="24"/>
                <w:szCs w:val="24"/>
              </w:rPr>
              <w:t>Ares Management Corporation</w:t>
            </w:r>
            <w:r>
              <w:rPr>
                <w:rFonts w:hint="eastAsia" w:ascii="宋体" w:hAnsi="宋体" w:cs="Times"/>
                <w:kern w:val="0"/>
                <w:sz w:val="24"/>
                <w:szCs w:val="24"/>
              </w:rPr>
              <w:t>收购</w:t>
            </w:r>
            <w:r>
              <w:rPr>
                <w:rFonts w:ascii="宋体" w:hAnsi="宋体" w:cs="Times"/>
                <w:kern w:val="0"/>
                <w:sz w:val="24"/>
                <w:szCs w:val="24"/>
              </w:rPr>
              <w:t xml:space="preserve">SB Energy Global, LLC </w:t>
            </w:r>
            <w:r>
              <w:rPr>
                <w:rFonts w:hint="eastAsia" w:ascii="宋体" w:hAnsi="宋体" w:cs="Times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560" w:type="dxa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  <w:r>
              <w:rPr>
                <w:rFonts w:hint="eastAsia" w:ascii="宋体" w:hAnsi="宋体" w:cs="Times"/>
                <w:b/>
                <w:sz w:val="24"/>
                <w:szCs w:val="24"/>
              </w:rPr>
              <w:t>交易概况（限</w:t>
            </w:r>
            <w:r>
              <w:rPr>
                <w:rFonts w:ascii="宋体" w:hAnsi="宋体" w:cs="Times"/>
                <w:b/>
                <w:sz w:val="24"/>
                <w:szCs w:val="24"/>
              </w:rPr>
              <w:t>200</w:t>
            </w:r>
            <w:r>
              <w:rPr>
                <w:rFonts w:hint="eastAsia" w:ascii="宋体" w:hAnsi="宋体" w:cs="Times"/>
                <w:b/>
                <w:sz w:val="24"/>
                <w:szCs w:val="24"/>
              </w:rPr>
              <w:t>字内）</w:t>
            </w: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ascii="宋体" w:hAnsi="宋体" w:cs="Times"/>
                <w:sz w:val="24"/>
                <w:szCs w:val="24"/>
              </w:rPr>
              <w:t>Ares Management Corporation</w:t>
            </w:r>
            <w:r>
              <w:rPr>
                <w:rFonts w:hint="eastAsia" w:ascii="宋体" w:hAnsi="宋体" w:cs="Times"/>
                <w:sz w:val="24"/>
                <w:szCs w:val="24"/>
              </w:rPr>
              <w:t>（“</w:t>
            </w:r>
            <w:r>
              <w:rPr>
                <w:rFonts w:ascii="宋体" w:hAnsi="宋体" w:cs="Times"/>
                <w:sz w:val="24"/>
                <w:szCs w:val="24"/>
              </w:rPr>
              <w:t>Ares</w:t>
            </w:r>
            <w:r>
              <w:rPr>
                <w:rFonts w:hint="eastAsia" w:ascii="宋体" w:hAnsi="宋体" w:cs="Times"/>
                <w:sz w:val="24"/>
                <w:szCs w:val="24"/>
              </w:rPr>
              <w:t>”）通过其投资主体与软银集团股份有限公司（“软银集团”）的关联企业签订协议，收购</w:t>
            </w:r>
            <w:r>
              <w:rPr>
                <w:rFonts w:ascii="宋体" w:hAnsi="宋体" w:cs="Times"/>
                <w:sz w:val="24"/>
                <w:szCs w:val="24"/>
              </w:rPr>
              <w:t>SB Energy Global, LLC</w:t>
            </w:r>
            <w:r>
              <w:rPr>
                <w:rFonts w:hint="eastAsia" w:ascii="宋体" w:hAnsi="宋体" w:cs="Times"/>
                <w:sz w:val="24"/>
                <w:szCs w:val="24"/>
              </w:rPr>
              <w:t>（“目标公司”）至多</w:t>
            </w:r>
            <w:r>
              <w:rPr>
                <w:rFonts w:ascii="宋体" w:hAnsi="宋体" w:cs="Times"/>
                <w:sz w:val="24"/>
                <w:szCs w:val="24"/>
              </w:rPr>
              <w:t>16%</w:t>
            </w:r>
            <w:r>
              <w:rPr>
                <w:rFonts w:hint="eastAsia" w:ascii="宋体" w:hAnsi="宋体" w:cs="Times"/>
                <w:sz w:val="24"/>
                <w:szCs w:val="24"/>
              </w:rPr>
              <w:t>的股权（“交易</w:t>
            </w:r>
            <w:r>
              <w:rPr>
                <w:rFonts w:ascii="宋体" w:hAnsi="宋体" w:cs="Times"/>
                <w:sz w:val="24"/>
                <w:szCs w:val="24"/>
              </w:rPr>
              <w:t>”</w:t>
            </w:r>
            <w:r>
              <w:rPr>
                <w:rFonts w:hint="eastAsia" w:ascii="宋体" w:hAnsi="宋体" w:cs="Times"/>
                <w:sz w:val="24"/>
                <w:szCs w:val="24"/>
              </w:rPr>
              <w:t>）。目标公司在美国运营可再生能源业务，目前没有在中国开展任何业务。</w:t>
            </w:r>
          </w:p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交易前，软银集团间接持有目标公司</w:t>
            </w:r>
            <w:r>
              <w:rPr>
                <w:rFonts w:ascii="宋体" w:hAnsi="宋体" w:cs="Times"/>
                <w:sz w:val="24"/>
                <w:szCs w:val="24"/>
              </w:rPr>
              <w:t>85%</w:t>
            </w:r>
            <w:r>
              <w:rPr>
                <w:rFonts w:hint="eastAsia" w:ascii="宋体" w:hAnsi="宋体" w:cs="Times"/>
                <w:sz w:val="24"/>
                <w:szCs w:val="24"/>
              </w:rPr>
              <w:t>的股权，单独控制目标公司。</w:t>
            </w:r>
            <w:r>
              <w:rPr>
                <w:rFonts w:ascii="宋体" w:hAnsi="宋体" w:cs="Times"/>
                <w:sz w:val="24"/>
                <w:szCs w:val="24"/>
              </w:rPr>
              <w:t>Ares</w:t>
            </w:r>
            <w:r>
              <w:rPr>
                <w:rFonts w:hint="eastAsia" w:ascii="宋体" w:hAnsi="宋体" w:cs="Times"/>
                <w:sz w:val="24"/>
                <w:szCs w:val="24"/>
              </w:rPr>
              <w:t>则间接持有目标公司</w:t>
            </w:r>
            <w:r>
              <w:rPr>
                <w:rFonts w:ascii="宋体" w:hAnsi="宋体" w:cs="Times"/>
                <w:sz w:val="24"/>
                <w:szCs w:val="24"/>
              </w:rPr>
              <w:t>15%</w:t>
            </w:r>
            <w:r>
              <w:rPr>
                <w:rFonts w:hint="eastAsia" w:ascii="宋体" w:hAnsi="宋体" w:cs="Times"/>
                <w:sz w:val="24"/>
                <w:szCs w:val="24"/>
              </w:rPr>
              <w:t>非控制性股权。交易后，</w:t>
            </w:r>
            <w:r>
              <w:rPr>
                <w:rFonts w:ascii="宋体" w:hAnsi="宋体" w:cs="Times"/>
                <w:sz w:val="24"/>
                <w:szCs w:val="24"/>
              </w:rPr>
              <w:t>Ares</w:t>
            </w:r>
            <w:r>
              <w:rPr>
                <w:rFonts w:hint="eastAsia" w:ascii="宋体" w:hAnsi="宋体" w:cs="Times"/>
                <w:sz w:val="24"/>
                <w:szCs w:val="24"/>
              </w:rPr>
              <w:t>将持有目标公司至多</w:t>
            </w:r>
            <w:r>
              <w:rPr>
                <w:rFonts w:ascii="宋体" w:hAnsi="宋体" w:cs="Times"/>
                <w:sz w:val="24"/>
                <w:szCs w:val="24"/>
              </w:rPr>
              <w:t>31%</w:t>
            </w:r>
            <w:r>
              <w:rPr>
                <w:rFonts w:hint="eastAsia" w:ascii="宋体" w:hAnsi="宋体" w:cs="Times"/>
                <w:sz w:val="24"/>
                <w:szCs w:val="24"/>
              </w:rPr>
              <w:t>的股权，并且与软银集团共同控制目标公司。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60" w:type="dxa"/>
            <w:vMerge w:val="restart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  <w:r>
              <w:rPr>
                <w:rFonts w:hint="eastAsia" w:ascii="宋体" w:hAnsi="宋体" w:cs="Times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270" w:type="dxa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ascii="宋体" w:hAnsi="宋体" w:cs="Times"/>
                <w:sz w:val="24"/>
                <w:szCs w:val="24"/>
              </w:rPr>
              <w:t>1</w:t>
            </w:r>
            <w:r>
              <w:rPr>
                <w:rFonts w:hint="eastAsia" w:ascii="宋体" w:hAnsi="宋体" w:cs="Times"/>
                <w:sz w:val="24"/>
                <w:szCs w:val="24"/>
              </w:rPr>
              <w:t>、</w:t>
            </w:r>
            <w:r>
              <w:rPr>
                <w:rFonts w:ascii="宋体" w:hAnsi="宋体" w:cs="Times"/>
                <w:sz w:val="24"/>
                <w:szCs w:val="24"/>
              </w:rPr>
              <w:t>Ares</w:t>
            </w:r>
          </w:p>
        </w:tc>
        <w:tc>
          <w:tcPr>
            <w:tcW w:w="5818" w:type="dxa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ascii="宋体" w:hAnsi="宋体" w:cs="Times"/>
                <w:sz w:val="24"/>
                <w:szCs w:val="24"/>
                <w:lang w:val="en-GB"/>
              </w:rPr>
              <w:t>Ares</w:t>
            </w:r>
            <w:r>
              <w:rPr>
                <w:rFonts w:hint="eastAsia" w:ascii="宋体" w:hAnsi="宋体" w:cs="Times"/>
                <w:sz w:val="24"/>
                <w:szCs w:val="24"/>
              </w:rPr>
              <w:t>于</w:t>
            </w:r>
            <w:r>
              <w:rPr>
                <w:rFonts w:ascii="宋体" w:hAnsi="宋体" w:cs="Times"/>
                <w:sz w:val="24"/>
                <w:szCs w:val="24"/>
              </w:rPr>
              <w:t>2013</w:t>
            </w:r>
            <w:r>
              <w:rPr>
                <w:rFonts w:hint="eastAsia" w:ascii="宋体" w:hAnsi="宋体" w:cs="Times"/>
                <w:sz w:val="24"/>
                <w:szCs w:val="24"/>
              </w:rPr>
              <w:t>年</w:t>
            </w:r>
            <w:r>
              <w:rPr>
                <w:rFonts w:ascii="宋体" w:hAnsi="宋体" w:cs="Times"/>
                <w:sz w:val="24"/>
                <w:szCs w:val="24"/>
              </w:rPr>
              <w:t>11</w:t>
            </w:r>
            <w:r>
              <w:rPr>
                <w:rFonts w:hint="eastAsia" w:ascii="宋体" w:hAnsi="宋体" w:cs="Times"/>
                <w:sz w:val="24"/>
                <w:szCs w:val="24"/>
              </w:rPr>
              <w:t>月</w:t>
            </w:r>
            <w:r>
              <w:rPr>
                <w:rFonts w:ascii="宋体" w:hAnsi="宋体" w:cs="Times"/>
                <w:sz w:val="24"/>
                <w:szCs w:val="24"/>
              </w:rPr>
              <w:t>15</w:t>
            </w:r>
            <w:r>
              <w:rPr>
                <w:rFonts w:hint="eastAsia" w:ascii="宋体" w:hAnsi="宋体" w:cs="Times"/>
                <w:sz w:val="24"/>
                <w:szCs w:val="24"/>
              </w:rPr>
              <w:t>日成立于美国，为纽约证券交易所上市公司。</w:t>
            </w:r>
          </w:p>
          <w:p>
            <w:pPr>
              <w:snapToGrid w:val="0"/>
              <w:rPr>
                <w:rFonts w:ascii="宋体" w:hAnsi="宋体" w:cs="Times"/>
                <w:sz w:val="24"/>
                <w:szCs w:val="24"/>
                <w:lang w:val="en-GB"/>
              </w:rPr>
            </w:pPr>
            <w:r>
              <w:rPr>
                <w:rFonts w:ascii="宋体" w:hAnsi="宋体" w:cs="Times"/>
                <w:sz w:val="24"/>
                <w:szCs w:val="24"/>
              </w:rPr>
              <w:t>Ares</w:t>
            </w:r>
            <w:r>
              <w:rPr>
                <w:rFonts w:hint="eastAsia" w:ascii="宋体" w:hAnsi="宋体" w:cs="Times"/>
                <w:sz w:val="24"/>
                <w:szCs w:val="24"/>
              </w:rPr>
              <w:t>是</w:t>
            </w:r>
            <w:r>
              <w:rPr>
                <w:rFonts w:hint="eastAsia" w:ascii="宋体" w:hAnsi="宋体" w:cs="Times"/>
                <w:sz w:val="24"/>
                <w:szCs w:val="24"/>
                <w:lang w:val="en-GB"/>
              </w:rPr>
              <w:t>一家另类投资管理公司，为客户提供在信贷、私募股权、房地产和基础设施资产类别上互补的一级和二级投资解决方案。</w:t>
            </w:r>
          </w:p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ascii="宋体" w:hAnsi="宋体" w:cs="Times"/>
                <w:sz w:val="24"/>
                <w:szCs w:val="24"/>
                <w:lang w:val="en-GB"/>
              </w:rPr>
              <w:t>Ares</w:t>
            </w:r>
            <w:r>
              <w:rPr>
                <w:rFonts w:hint="eastAsia" w:ascii="宋体" w:hAnsi="宋体" w:cs="Times"/>
                <w:sz w:val="24"/>
                <w:szCs w:val="24"/>
              </w:rPr>
              <w:t>无最终控制人。有关</w:t>
            </w:r>
            <w:r>
              <w:rPr>
                <w:rFonts w:ascii="宋体" w:hAnsi="宋体" w:cs="Times"/>
                <w:sz w:val="24"/>
                <w:szCs w:val="24"/>
                <w:lang w:val="en-GB"/>
              </w:rPr>
              <w:t>Ares</w:t>
            </w:r>
            <w:r>
              <w:rPr>
                <w:rFonts w:hint="eastAsia" w:ascii="宋体" w:hAnsi="宋体" w:cs="Times"/>
                <w:sz w:val="24"/>
                <w:szCs w:val="24"/>
                <w:lang w:val="en-GB"/>
              </w:rPr>
              <w:t>的详细信息请参见</w:t>
            </w:r>
            <w:r>
              <w:fldChar w:fldCharType="begin"/>
            </w:r>
            <w:r>
              <w:instrText xml:space="preserve"> HYPERLINK "http://www.aresmgmt.com" </w:instrText>
            </w:r>
            <w:r>
              <w:fldChar w:fldCharType="separate"/>
            </w:r>
            <w:r>
              <w:rPr>
                <w:rStyle w:val="10"/>
                <w:rFonts w:ascii="宋体" w:hAnsi="宋体" w:cs="Times"/>
                <w:sz w:val="24"/>
                <w:szCs w:val="24"/>
              </w:rPr>
              <w:t>http://www.aresmgmt.com</w:t>
            </w:r>
            <w:r>
              <w:rPr>
                <w:rStyle w:val="10"/>
                <w:rFonts w:ascii="宋体" w:hAnsi="宋体" w:cs="Times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Times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</w:p>
        </w:tc>
        <w:tc>
          <w:tcPr>
            <w:tcW w:w="1270" w:type="dxa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ascii="宋体" w:hAnsi="宋体" w:cs="Times"/>
                <w:sz w:val="24"/>
                <w:szCs w:val="24"/>
              </w:rPr>
              <w:t>2</w:t>
            </w:r>
            <w:r>
              <w:rPr>
                <w:rFonts w:hint="eastAsia" w:ascii="宋体" w:hAnsi="宋体" w:cs="Times"/>
                <w:sz w:val="24"/>
                <w:szCs w:val="24"/>
              </w:rPr>
              <w:t>、软银集团</w:t>
            </w:r>
          </w:p>
        </w:tc>
        <w:tc>
          <w:tcPr>
            <w:tcW w:w="5818" w:type="dxa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软银集团于</w:t>
            </w:r>
            <w:r>
              <w:rPr>
                <w:rFonts w:ascii="宋体" w:hAnsi="宋体" w:cs="Times"/>
                <w:sz w:val="24"/>
                <w:szCs w:val="24"/>
              </w:rPr>
              <w:t>1981</w:t>
            </w:r>
            <w:r>
              <w:rPr>
                <w:rFonts w:hint="eastAsia" w:ascii="宋体" w:hAnsi="宋体" w:cs="Times"/>
                <w:sz w:val="24"/>
                <w:szCs w:val="24"/>
              </w:rPr>
              <w:t>年</w:t>
            </w:r>
            <w:r>
              <w:rPr>
                <w:rFonts w:ascii="宋体" w:hAnsi="宋体" w:cs="Times"/>
                <w:sz w:val="24"/>
                <w:szCs w:val="24"/>
              </w:rPr>
              <w:t>9</w:t>
            </w:r>
            <w:r>
              <w:rPr>
                <w:rFonts w:hint="eastAsia" w:ascii="宋体" w:hAnsi="宋体" w:cs="Times"/>
                <w:sz w:val="24"/>
                <w:szCs w:val="24"/>
              </w:rPr>
              <w:t>月</w:t>
            </w:r>
            <w:r>
              <w:rPr>
                <w:rFonts w:ascii="宋体" w:hAnsi="宋体" w:cs="Times"/>
                <w:sz w:val="24"/>
                <w:szCs w:val="24"/>
              </w:rPr>
              <w:t>3</w:t>
            </w:r>
            <w:r>
              <w:rPr>
                <w:rFonts w:hint="eastAsia" w:ascii="宋体" w:hAnsi="宋体" w:cs="Times"/>
                <w:sz w:val="24"/>
                <w:szCs w:val="24"/>
              </w:rPr>
              <w:t>日成立于日本，为东京证券交易所上市公司。</w:t>
            </w:r>
          </w:p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软银集团是全球多家子公司和关联公司的母公司，主要从事先进电信、互联网服务、物联网、机器人技术和清洁能源技术。</w:t>
            </w:r>
          </w:p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软银集团无最终控制人。有关软银集团的详细信息请参见：</w:t>
            </w:r>
            <w:r>
              <w:fldChar w:fldCharType="begin"/>
            </w:r>
            <w:r>
              <w:instrText xml:space="preserve"> HYPERLINK "https://group.softbank/en/segments/group" </w:instrText>
            </w:r>
            <w:r>
              <w:fldChar w:fldCharType="separate"/>
            </w:r>
            <w:r>
              <w:rPr>
                <w:rStyle w:val="10"/>
                <w:rFonts w:ascii="宋体" w:hAnsi="宋体" w:cs="Times"/>
                <w:sz w:val="24"/>
                <w:szCs w:val="24"/>
              </w:rPr>
              <w:t>https://group.softbank/en/segments/group</w:t>
            </w:r>
            <w:r>
              <w:rPr>
                <w:rStyle w:val="10"/>
                <w:rFonts w:ascii="宋体" w:hAnsi="宋体" w:cs="Times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Times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60" w:type="dxa"/>
            <w:vMerge w:val="restart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  <w:r>
              <w:rPr>
                <w:rFonts w:hint="eastAsia" w:ascii="宋体" w:hAnsi="宋体" w:cs="Times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□1、在同一相关市场，所有参与集中的经营者所占市场份额之和小于</w:t>
            </w:r>
            <w:r>
              <w:rPr>
                <w:rFonts w:ascii="宋体" w:hAnsi="宋体" w:cs="Times"/>
                <w:sz w:val="24"/>
                <w:szCs w:val="24"/>
              </w:rPr>
              <w:t>15%</w:t>
            </w:r>
            <w:r>
              <w:rPr>
                <w:rFonts w:hint="eastAsia" w:ascii="宋体" w:hAnsi="宋体" w:cs="Times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□2、存在上下游关系的参与集中的经营者，在上下游市场所占的市场份额均小于</w:t>
            </w:r>
            <w:r>
              <w:rPr>
                <w:rFonts w:ascii="宋体" w:hAnsi="宋体" w:cs="Times"/>
                <w:sz w:val="24"/>
                <w:szCs w:val="24"/>
              </w:rPr>
              <w:t>25%</w:t>
            </w:r>
            <w:r>
              <w:rPr>
                <w:rFonts w:hint="eastAsia" w:ascii="宋体" w:hAnsi="宋体" w:cs="Times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□3、不在同一相关市场、也不存在上下游关系的参与集中的经营者，在与交易有关的每个市场所占的份额均小于</w:t>
            </w:r>
            <w:r>
              <w:rPr>
                <w:rFonts w:ascii="宋体" w:hAnsi="宋体" w:cs="Times"/>
                <w:sz w:val="24"/>
                <w:szCs w:val="24"/>
              </w:rPr>
              <w:t>25%</w:t>
            </w:r>
            <w:r>
              <w:rPr>
                <w:rFonts w:hint="eastAsia" w:ascii="宋体" w:hAnsi="宋体" w:cs="Times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ascii="宋体" w:hAnsi="宋体" w:cs="Times"/>
                <w:sz w:val="24"/>
                <w:szCs w:val="24"/>
              </w:rPr>
              <w:sym w:font="Wingdings" w:char="F0FE"/>
            </w:r>
            <w:r>
              <w:rPr>
                <w:rFonts w:ascii="宋体" w:hAnsi="宋体" w:cs="Times"/>
                <w:sz w:val="24"/>
                <w:szCs w:val="24"/>
              </w:rPr>
              <w:t>5</w:t>
            </w:r>
            <w:r>
              <w:rPr>
                <w:rFonts w:hint="eastAsia" w:ascii="宋体" w:hAnsi="宋体" w:cs="Times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D9D9D9"/>
          </w:tcPr>
          <w:p>
            <w:pPr>
              <w:snapToGrid w:val="0"/>
              <w:rPr>
                <w:rFonts w:ascii="宋体" w:hAnsi="宋体" w:cs="Times"/>
                <w:b/>
                <w:sz w:val="24"/>
                <w:szCs w:val="24"/>
              </w:rPr>
            </w:pPr>
            <w:r>
              <w:rPr>
                <w:rFonts w:hint="eastAsia" w:ascii="宋体" w:hAnsi="宋体" w:cs="Times"/>
                <w:b/>
                <w:sz w:val="24"/>
                <w:szCs w:val="24"/>
              </w:rPr>
              <w:t>备注</w:t>
            </w:r>
          </w:p>
        </w:tc>
        <w:tc>
          <w:tcPr>
            <w:tcW w:w="7088" w:type="dxa"/>
            <w:gridSpan w:val="2"/>
          </w:tcPr>
          <w:p>
            <w:pPr>
              <w:snapToGrid w:val="0"/>
              <w:rPr>
                <w:rFonts w:ascii="宋体" w:hAnsi="宋体" w:cs="Times"/>
                <w:sz w:val="24"/>
                <w:szCs w:val="24"/>
              </w:rPr>
            </w:pPr>
            <w:r>
              <w:rPr>
                <w:rFonts w:hint="eastAsia" w:ascii="宋体" w:hAnsi="宋体" w:cs="Times"/>
                <w:sz w:val="24"/>
                <w:szCs w:val="24"/>
              </w:rPr>
              <w:t>不适用</w:t>
            </w:r>
          </w:p>
        </w:tc>
      </w:tr>
    </w:tbl>
    <w:p>
      <w:pPr>
        <w:snapToGrid w:val="0"/>
        <w:spacing w:line="340" w:lineRule="exact"/>
        <w:jc w:val="left"/>
        <w:rPr>
          <w:rFonts w:ascii="Times" w:hAnsi="Times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">
    <w:altName w:val="DejaVu San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bordersDoNotSurroundHeader w:val="true"/>
  <w:bordersDoNotSurroundFooter w:val="true"/>
  <w:doNotTrackMoves/>
  <w:doNotTrackFormatting/>
  <w:trackRevisions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1B0F"/>
    <w:rsid w:val="00017396"/>
    <w:rsid w:val="00094095"/>
    <w:rsid w:val="00211879"/>
    <w:rsid w:val="00233C9D"/>
    <w:rsid w:val="00245776"/>
    <w:rsid w:val="00266358"/>
    <w:rsid w:val="00266FF6"/>
    <w:rsid w:val="0029549A"/>
    <w:rsid w:val="002A3524"/>
    <w:rsid w:val="002F1036"/>
    <w:rsid w:val="002F2D60"/>
    <w:rsid w:val="00307976"/>
    <w:rsid w:val="00321B51"/>
    <w:rsid w:val="003276D7"/>
    <w:rsid w:val="00395ECC"/>
    <w:rsid w:val="00457D31"/>
    <w:rsid w:val="00462174"/>
    <w:rsid w:val="00470198"/>
    <w:rsid w:val="004901B3"/>
    <w:rsid w:val="00494C5A"/>
    <w:rsid w:val="004B3DA4"/>
    <w:rsid w:val="004C6BDB"/>
    <w:rsid w:val="00530966"/>
    <w:rsid w:val="00571C41"/>
    <w:rsid w:val="005A68ED"/>
    <w:rsid w:val="005A7399"/>
    <w:rsid w:val="005C4AA9"/>
    <w:rsid w:val="005D796C"/>
    <w:rsid w:val="005F167B"/>
    <w:rsid w:val="0060481D"/>
    <w:rsid w:val="006226F0"/>
    <w:rsid w:val="00625C74"/>
    <w:rsid w:val="007603AA"/>
    <w:rsid w:val="00796EEF"/>
    <w:rsid w:val="00865891"/>
    <w:rsid w:val="00872274"/>
    <w:rsid w:val="009067B7"/>
    <w:rsid w:val="009424FE"/>
    <w:rsid w:val="00967499"/>
    <w:rsid w:val="0099115B"/>
    <w:rsid w:val="009F1659"/>
    <w:rsid w:val="00A22511"/>
    <w:rsid w:val="00A700D8"/>
    <w:rsid w:val="00AB6C08"/>
    <w:rsid w:val="00AD1D93"/>
    <w:rsid w:val="00AE2C40"/>
    <w:rsid w:val="00B02AC9"/>
    <w:rsid w:val="00B037A4"/>
    <w:rsid w:val="00B061C3"/>
    <w:rsid w:val="00B2157B"/>
    <w:rsid w:val="00B240B1"/>
    <w:rsid w:val="00B56BE2"/>
    <w:rsid w:val="00B955F5"/>
    <w:rsid w:val="00BA0750"/>
    <w:rsid w:val="00BB2377"/>
    <w:rsid w:val="00C72EE9"/>
    <w:rsid w:val="00C9068E"/>
    <w:rsid w:val="00C90E71"/>
    <w:rsid w:val="00CE791B"/>
    <w:rsid w:val="00D21777"/>
    <w:rsid w:val="00D8293A"/>
    <w:rsid w:val="00DD5E88"/>
    <w:rsid w:val="00E11775"/>
    <w:rsid w:val="00E4567B"/>
    <w:rsid w:val="00E677B7"/>
    <w:rsid w:val="00ED21B1"/>
    <w:rsid w:val="00F40281"/>
    <w:rsid w:val="00F45DD1"/>
    <w:rsid w:val="00F87C1F"/>
    <w:rsid w:val="00F944F8"/>
    <w:rsid w:val="00FB4C6B"/>
    <w:rsid w:val="6F7FB596"/>
    <w:rsid w:val="B7F9D7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1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Endnote Text Char"/>
    <w:basedOn w:val="8"/>
    <w:link w:val="2"/>
    <w:semiHidden/>
    <w:qFormat/>
    <w:uiPriority w:val="99"/>
  </w:style>
  <w:style w:type="character" w:customStyle="1" w:styleId="12">
    <w:name w:val="Header Char"/>
    <w:link w:val="5"/>
    <w:qFormat/>
    <w:uiPriority w:val="99"/>
    <w:rPr>
      <w:sz w:val="18"/>
      <w:szCs w:val="18"/>
    </w:rPr>
  </w:style>
  <w:style w:type="character" w:customStyle="1" w:styleId="13">
    <w:name w:val="Footer Char"/>
    <w:link w:val="4"/>
    <w:qFormat/>
    <w:uiPriority w:val="99"/>
    <w:rPr>
      <w:sz w:val="18"/>
      <w:szCs w:val="18"/>
    </w:rPr>
  </w:style>
  <w:style w:type="character" w:customStyle="1" w:styleId="14">
    <w:name w:val="Balloon Text Char"/>
    <w:basedOn w:val="8"/>
    <w:link w:val="3"/>
    <w:semiHidden/>
    <w:qFormat/>
    <w:uiPriority w:val="99"/>
    <w:rPr>
      <w:kern w:val="2"/>
      <w:sz w:val="18"/>
      <w:szCs w:val="18"/>
      <w:lang w:val="en-US" w:bidi="ar-SA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475</Words>
  <Characters>590</Characters>
  <Lines>39</Lines>
  <Paragraphs>27</Paragraphs>
  <TotalTime>2</TotalTime>
  <ScaleCrop>false</ScaleCrop>
  <LinksUpToDate>false</LinksUpToDate>
  <CharactersWithSpaces>1038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2022-05-04T07:14:00Z</dcterms:created>
  <dcterms:modified xsi:type="dcterms:W3CDTF">2022-05-17T09:40:00Z</dcterms:modified>
  <dc:title>经营者集中简易案件公示表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2022-03-11T08:05:12Z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816a926a-389b-4f19-9a56-77d2cef35f5b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">
    <vt:lpwstr>0112063</vt:lpwstr>
  </property>
  <property fmtid="{D5CDD505-2E9C-101B-9397-08002B2CF9AE}" pid="10" name="Matter">
    <vt:lpwstr>0000018</vt:lpwstr>
  </property>
  <property fmtid="{D5CDD505-2E9C-101B-9397-08002B2CF9AE}" pid="11" name="cpDocRef">
    <vt:lpwstr>SNO1: 2003460177.1</vt:lpwstr>
  </property>
  <property fmtid="{D5CDD505-2E9C-101B-9397-08002B2CF9AE}" pid="12" name="cpClientMatter">
    <vt:lpwstr>0112063-0000018</vt:lpwstr>
  </property>
  <property fmtid="{D5CDD505-2E9C-101B-9397-08002B2CF9AE}" pid="13" name="cpCombinedRef">
    <vt:lpwstr>0112063-0000018 SNO1: 2003460177.1</vt:lpwstr>
  </property>
  <property fmtid="{D5CDD505-2E9C-101B-9397-08002B2CF9AE}" pid="14" name="Client Code">
    <vt:lpwstr>10631671</vt:lpwstr>
  </property>
  <property fmtid="{D5CDD505-2E9C-101B-9397-08002B2CF9AE}" pid="15" name="DEDocumentLocation">
    <vt:lpwstr>C:\Users\hwzhang\AppData\Local\Linklaters\DocExplorer\Attachments\A47882096 v0.2 220504_Project Redwood_Public Announcement Form (CHN).docx</vt:lpwstr>
  </property>
  <property fmtid="{D5CDD505-2E9C-101B-9397-08002B2CF9AE}" pid="16" name="Document Number">
    <vt:lpwstr>A47882096</vt:lpwstr>
  </property>
  <property fmtid="{D5CDD505-2E9C-101B-9397-08002B2CF9AE}" pid="17" name="Last Modified">
    <vt:lpwstr>04 May 2022</vt:lpwstr>
  </property>
  <property fmtid="{D5CDD505-2E9C-101B-9397-08002B2CF9AE}" pid="18" name="Matter Number">
    <vt:lpwstr>L-322438</vt:lpwstr>
  </property>
  <property fmtid="{D5CDD505-2E9C-101B-9397-08002B2CF9AE}" pid="19" name="Mode">
    <vt:lpwstr>SendAs</vt:lpwstr>
  </property>
  <property fmtid="{D5CDD505-2E9C-101B-9397-08002B2CF9AE}" pid="20" name="Version">
    <vt:lpwstr>0.2</vt:lpwstr>
  </property>
  <property fmtid="{D5CDD505-2E9C-101B-9397-08002B2CF9AE}" pid="21" name="ObjectID">
    <vt:lpwstr>09001dc8972bf292</vt:lpwstr>
  </property>
  <property fmtid="{D5CDD505-2E9C-101B-9397-08002B2CF9AE}" pid="22" name="_MarkAsFinal">
    <vt:bool>false</vt:bool>
  </property>
  <property fmtid="{D5CDD505-2E9C-101B-9397-08002B2CF9AE}" pid="23" name="KSOProductBuildVer">
    <vt:lpwstr>2052-11.8.2.9695</vt:lpwstr>
  </property>
</Properties>
</file>