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仿宋_GB2312"/>
          <w:sz w:val="24"/>
          <w:szCs w:val="24"/>
        </w:rPr>
      </w:pPr>
      <w:r>
        <w:rPr>
          <w:rFonts w:ascii="Times New Roman" w:hAnsi="Times New Roman" w:eastAsia="仿宋_GB2312"/>
          <w:b/>
          <w:sz w:val="24"/>
          <w:szCs w:val="24"/>
        </w:rPr>
        <w:t>经营者集中简易案件公示表</w:t>
      </w:r>
    </w:p>
    <w:p>
      <w:pPr>
        <w:spacing w:line="440" w:lineRule="exact"/>
        <w:rPr>
          <w:rFonts w:ascii="Times New Roman" w:hAnsi="Times New Roman" w:eastAsia="仿宋_GB2312"/>
          <w:sz w:val="22"/>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809" w:type="dxa"/>
            <w:shd w:val="clear" w:color="auto" w:fill="D9D9D9"/>
            <w:vAlign w:val="center"/>
          </w:tcPr>
          <w:p>
            <w:pPr>
              <w:jc w:val="center"/>
              <w:rPr>
                <w:rFonts w:ascii="Times New Roman" w:hAnsi="Times New Roman" w:eastAsia="仿宋_GB2312"/>
                <w:kern w:val="0"/>
                <w:sz w:val="22"/>
              </w:rPr>
            </w:pPr>
            <w:r>
              <w:rPr>
                <w:rFonts w:ascii="Times New Roman" w:hAnsi="Times New Roman" w:eastAsia="仿宋_GB2312"/>
                <w:kern w:val="0"/>
                <w:sz w:val="22"/>
              </w:rPr>
              <w:t>案件名称</w:t>
            </w:r>
          </w:p>
        </w:tc>
        <w:tc>
          <w:tcPr>
            <w:tcW w:w="6949" w:type="dxa"/>
            <w:gridSpan w:val="2"/>
          </w:tcPr>
          <w:p>
            <w:pPr>
              <w:rPr>
                <w:rFonts w:ascii="Times New Roman" w:hAnsi="Times New Roman" w:eastAsia="仿宋_GB2312"/>
                <w:kern w:val="0"/>
                <w:sz w:val="22"/>
              </w:rPr>
            </w:pPr>
            <w:r>
              <w:rPr>
                <w:rFonts w:ascii="Times New Roman" w:hAnsi="Times New Roman" w:eastAsia="仿宋_GB2312"/>
                <w:sz w:val="22"/>
              </w:rPr>
              <w:t>中国第一汽车股份有限公司收购一汽红塔云南汽车制造有限公司股权案（“</w:t>
            </w:r>
            <w:r>
              <w:rPr>
                <w:rFonts w:ascii="Times New Roman" w:hAnsi="Times New Roman" w:eastAsia="仿宋_GB2312"/>
                <w:b/>
                <w:sz w:val="22"/>
              </w:rPr>
              <w:t>本次交易</w:t>
            </w:r>
            <w:r>
              <w:rPr>
                <w:rFonts w:ascii="Times New Roman" w:hAnsi="Times New Roman" w:eastAsia="仿宋_GB2312"/>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jc w:val="center"/>
              <w:rPr>
                <w:rFonts w:ascii="Times New Roman" w:hAnsi="Times New Roman" w:eastAsia="仿宋_GB2312"/>
                <w:kern w:val="0"/>
                <w:sz w:val="22"/>
              </w:rPr>
            </w:pPr>
            <w:r>
              <w:rPr>
                <w:rFonts w:ascii="Times New Roman" w:hAnsi="Times New Roman" w:eastAsia="仿宋_GB2312"/>
                <w:kern w:val="0"/>
                <w:sz w:val="22"/>
              </w:rPr>
              <w:t>交易概况</w:t>
            </w:r>
          </w:p>
          <w:p>
            <w:pPr>
              <w:jc w:val="center"/>
              <w:rPr>
                <w:rFonts w:ascii="Times New Roman" w:hAnsi="Times New Roman" w:eastAsia="仿宋_GB2312"/>
                <w:kern w:val="0"/>
                <w:sz w:val="22"/>
              </w:rPr>
            </w:pPr>
            <w:r>
              <w:rPr>
                <w:rFonts w:ascii="Times New Roman" w:hAnsi="Times New Roman" w:eastAsia="仿宋_GB2312"/>
                <w:kern w:val="0"/>
                <w:sz w:val="22"/>
              </w:rPr>
              <w:t>（限200字内）</w:t>
            </w:r>
          </w:p>
        </w:tc>
        <w:tc>
          <w:tcPr>
            <w:tcW w:w="6949" w:type="dxa"/>
            <w:gridSpan w:val="2"/>
          </w:tcPr>
          <w:p>
            <w:pPr>
              <w:rPr>
                <w:rFonts w:ascii="Times New Roman" w:hAnsi="Times New Roman" w:eastAsia="仿宋_GB2312"/>
                <w:bCs/>
                <w:kern w:val="0"/>
                <w:sz w:val="22"/>
              </w:rPr>
            </w:pPr>
            <w:r>
              <w:rPr>
                <w:rFonts w:hint="eastAsia" w:ascii="Times New Roman" w:hAnsi="Times New Roman" w:eastAsia="仿宋_GB2312"/>
                <w:sz w:val="22"/>
              </w:rPr>
              <w:t>根据《增资扩股协议》约定，</w:t>
            </w:r>
            <w:r>
              <w:rPr>
                <w:rFonts w:ascii="Times New Roman" w:hAnsi="Times New Roman" w:eastAsia="仿宋_GB2312"/>
                <w:sz w:val="22"/>
              </w:rPr>
              <w:t>中国第一汽车股份有限公司（“</w:t>
            </w:r>
            <w:r>
              <w:rPr>
                <w:rFonts w:ascii="Times New Roman" w:hAnsi="Times New Roman" w:eastAsia="仿宋_GB2312"/>
                <w:b/>
                <w:sz w:val="22"/>
              </w:rPr>
              <w:t>一汽股份</w:t>
            </w:r>
            <w:r>
              <w:rPr>
                <w:rFonts w:ascii="Times New Roman" w:hAnsi="Times New Roman" w:eastAsia="仿宋_GB2312"/>
                <w:sz w:val="22"/>
              </w:rPr>
              <w:t>”）</w:t>
            </w:r>
            <w:r>
              <w:rPr>
                <w:rFonts w:ascii="Times New Roman" w:hAnsi="Times New Roman" w:eastAsia="仿宋_GB2312"/>
                <w:kern w:val="0"/>
                <w:sz w:val="22"/>
              </w:rPr>
              <w:t>拟以</w:t>
            </w:r>
            <w:r>
              <w:rPr>
                <w:rFonts w:ascii="Times New Roman" w:hAnsi="Times New Roman" w:eastAsia="仿宋_GB2312"/>
                <w:sz w:val="22"/>
              </w:rPr>
              <w:t>增加注册资本的形式，</w:t>
            </w:r>
            <w:r>
              <w:rPr>
                <w:rFonts w:hint="eastAsia" w:ascii="Times New Roman" w:hAnsi="Times New Roman" w:eastAsia="仿宋_GB2312"/>
                <w:sz w:val="22"/>
              </w:rPr>
              <w:t>计划</w:t>
            </w:r>
            <w:r>
              <w:rPr>
                <w:rFonts w:ascii="Times New Roman" w:hAnsi="Times New Roman" w:eastAsia="仿宋_GB2312"/>
                <w:sz w:val="22"/>
              </w:rPr>
              <w:t>增持一汽红塔的股权至60.32%，取得对一汽红塔的单独控制权。一汽红塔主要从事轻型载货车、轻型客车、新能源汽车</w:t>
            </w:r>
            <w:r>
              <w:rPr>
                <w:rFonts w:hint="eastAsia" w:ascii="Times New Roman" w:hAnsi="Times New Roman" w:eastAsia="仿宋_GB2312"/>
                <w:sz w:val="22"/>
              </w:rPr>
              <w:t>的生产和销售</w:t>
            </w:r>
            <w:r>
              <w:rPr>
                <w:rFonts w:ascii="Times New Roman" w:hAnsi="Times New Roman" w:eastAsia="仿宋_GB2312"/>
                <w:bCs/>
                <w:kern w:val="0"/>
                <w:sz w:val="22"/>
              </w:rPr>
              <w:t>。</w:t>
            </w:r>
          </w:p>
          <w:p>
            <w:pPr>
              <w:rPr>
                <w:rFonts w:ascii="Times New Roman" w:hAnsi="Times New Roman" w:eastAsia="仿宋_GB2312"/>
                <w:sz w:val="22"/>
              </w:rPr>
            </w:pPr>
            <w:r>
              <w:rPr>
                <w:rFonts w:ascii="Times New Roman" w:hAnsi="Times New Roman" w:eastAsia="仿宋_GB2312"/>
                <w:sz w:val="22"/>
              </w:rPr>
              <w:t>本次交易前，一汽股份</w:t>
            </w:r>
            <w:r>
              <w:rPr>
                <w:rFonts w:hint="eastAsia" w:ascii="Times New Roman" w:hAnsi="Times New Roman" w:eastAsia="仿宋_GB2312"/>
                <w:sz w:val="22"/>
              </w:rPr>
              <w:t>为一汽红塔的大股东，</w:t>
            </w:r>
            <w:r>
              <w:rPr>
                <w:rFonts w:ascii="Times New Roman" w:hAnsi="Times New Roman" w:eastAsia="仿宋_GB2312"/>
                <w:sz w:val="22"/>
              </w:rPr>
              <w:t>持有一汽红塔34.97%的股份</w:t>
            </w:r>
            <w:r>
              <w:rPr>
                <w:rFonts w:hint="eastAsia" w:ascii="Times New Roman" w:hAnsi="Times New Roman" w:eastAsia="仿宋_GB2312"/>
                <w:sz w:val="22"/>
              </w:rPr>
              <w:t>；</w:t>
            </w:r>
            <w:r>
              <w:rPr>
                <w:rFonts w:ascii="Times New Roman" w:hAnsi="Times New Roman" w:eastAsia="仿宋_GB2312"/>
                <w:sz w:val="22"/>
              </w:rPr>
              <w:t>本次交易后，一汽股份预计持有一汽红塔60.32%的股份，</w:t>
            </w:r>
            <w:r>
              <w:rPr>
                <w:rFonts w:hint="eastAsia" w:ascii="Times New Roman" w:hAnsi="Times New Roman" w:eastAsia="仿宋_GB2312"/>
                <w:sz w:val="22"/>
              </w:rPr>
              <w:t>由一汽股份单独控制</w:t>
            </w:r>
            <w:r>
              <w:rPr>
                <w:rFonts w:ascii="Times New Roman" w:hAnsi="Times New Roman" w:eastAsia="仿宋_GB2312"/>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jc w:val="center"/>
              <w:rPr>
                <w:rFonts w:ascii="Times New Roman" w:hAnsi="Times New Roman" w:eastAsia="仿宋_GB2312"/>
                <w:kern w:val="0"/>
                <w:sz w:val="22"/>
              </w:rPr>
            </w:pPr>
            <w:r>
              <w:rPr>
                <w:rFonts w:ascii="Times New Roman" w:hAnsi="Times New Roman" w:eastAsia="仿宋_GB2312"/>
                <w:kern w:val="0"/>
                <w:sz w:val="22"/>
              </w:rPr>
              <w:t>参与集中的</w:t>
            </w:r>
          </w:p>
          <w:p>
            <w:pPr>
              <w:jc w:val="center"/>
              <w:rPr>
                <w:rFonts w:ascii="Times New Roman" w:hAnsi="Times New Roman" w:eastAsia="仿宋_GB2312"/>
                <w:kern w:val="0"/>
                <w:sz w:val="22"/>
              </w:rPr>
            </w:pPr>
            <w:r>
              <w:rPr>
                <w:rFonts w:ascii="Times New Roman" w:hAnsi="Times New Roman" w:eastAsia="仿宋_GB2312"/>
                <w:kern w:val="0"/>
                <w:sz w:val="22"/>
              </w:rPr>
              <w:t>经营者简介</w:t>
            </w:r>
          </w:p>
        </w:tc>
        <w:tc>
          <w:tcPr>
            <w:tcW w:w="1796" w:type="dxa"/>
            <w:vAlign w:val="center"/>
          </w:tcPr>
          <w:p>
            <w:pPr>
              <w:rPr>
                <w:rFonts w:ascii="Times New Roman" w:hAnsi="Times New Roman" w:eastAsia="仿宋_GB2312"/>
                <w:kern w:val="0"/>
                <w:sz w:val="22"/>
              </w:rPr>
            </w:pPr>
            <w:r>
              <w:rPr>
                <w:rFonts w:ascii="Times New Roman" w:hAnsi="Times New Roman" w:eastAsia="仿宋_GB2312"/>
                <w:kern w:val="0"/>
                <w:sz w:val="22"/>
              </w:rPr>
              <w:t>1、一汽股份</w:t>
            </w:r>
          </w:p>
        </w:tc>
        <w:tc>
          <w:tcPr>
            <w:tcW w:w="5153" w:type="dxa"/>
            <w:vAlign w:val="center"/>
          </w:tcPr>
          <w:p>
            <w:pPr>
              <w:widowControl/>
              <w:snapToGrid w:val="0"/>
              <w:rPr>
                <w:rFonts w:ascii="Times New Roman" w:hAnsi="Times New Roman" w:eastAsia="仿宋_GB2312"/>
                <w:sz w:val="22"/>
              </w:rPr>
            </w:pPr>
            <w:r>
              <w:rPr>
                <w:rFonts w:ascii="Times New Roman" w:hAnsi="Times New Roman" w:eastAsia="仿宋_GB2312"/>
                <w:sz w:val="22"/>
              </w:rPr>
              <w:t>一汽股份于2011年6月28日成立于中国吉林省长春市。一汽股份在中国境内主要从事汽车制造及再制造，新能源乘用车制造，以及汽车零部件生产和销售。</w:t>
            </w:r>
          </w:p>
          <w:p>
            <w:pPr>
              <w:widowControl/>
              <w:snapToGrid w:val="0"/>
              <w:rPr>
                <w:rFonts w:ascii="Times New Roman" w:hAnsi="Times New Roman" w:eastAsia="仿宋_GB2312"/>
                <w:sz w:val="22"/>
              </w:rPr>
            </w:pPr>
            <w:r>
              <w:rPr>
                <w:rFonts w:ascii="Times New Roman" w:hAnsi="Times New Roman" w:eastAsia="仿宋_GB2312"/>
                <w:sz w:val="22"/>
              </w:rPr>
              <w:t>一汽股份最终控制人中国第一汽车集团有限公司（</w:t>
            </w:r>
            <w:r>
              <w:rPr>
                <w:rFonts w:ascii="Times New Roman" w:hAnsi="Times New Roman" w:eastAsia="仿宋_GB2312"/>
                <w:b/>
                <w:sz w:val="22"/>
              </w:rPr>
              <w:t>“一汽集团</w:t>
            </w:r>
            <w:r>
              <w:rPr>
                <w:rFonts w:ascii="Times New Roman" w:hAnsi="Times New Roman" w:eastAsia="仿宋_GB2312"/>
                <w:sz w:val="22"/>
              </w:rPr>
              <w:t>”）是国有特大型汽车企业集团，前身为第一汽车制造厂，其主要从事乘用车和商用车（包括轻、中和重型载货汽车）的研发、生产和销售业务。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jc w:val="center"/>
              <w:rPr>
                <w:rFonts w:ascii="Times New Roman" w:hAnsi="Times New Roman" w:eastAsia="仿宋_GB2312"/>
                <w:kern w:val="0"/>
                <w:sz w:val="22"/>
              </w:rPr>
            </w:pPr>
          </w:p>
        </w:tc>
        <w:tc>
          <w:tcPr>
            <w:tcW w:w="1796" w:type="dxa"/>
            <w:vAlign w:val="center"/>
          </w:tcPr>
          <w:p>
            <w:pPr>
              <w:rPr>
                <w:rFonts w:ascii="Times New Roman" w:hAnsi="Times New Roman" w:eastAsia="仿宋_GB2312"/>
                <w:kern w:val="0"/>
                <w:sz w:val="22"/>
              </w:rPr>
            </w:pPr>
            <w:r>
              <w:rPr>
                <w:rFonts w:ascii="Times New Roman" w:hAnsi="Times New Roman" w:eastAsia="仿宋_GB2312"/>
                <w:kern w:val="0"/>
                <w:sz w:val="22"/>
              </w:rPr>
              <w:t>2、一汽红塔</w:t>
            </w:r>
          </w:p>
        </w:tc>
        <w:tc>
          <w:tcPr>
            <w:tcW w:w="5153" w:type="dxa"/>
            <w:vAlign w:val="center"/>
          </w:tcPr>
          <w:p>
            <w:pPr>
              <w:rPr>
                <w:rFonts w:ascii="Times New Roman" w:hAnsi="Times New Roman" w:eastAsia="仿宋_GB2312"/>
                <w:sz w:val="22"/>
              </w:rPr>
            </w:pPr>
            <w:r>
              <w:rPr>
                <w:rFonts w:ascii="Times New Roman" w:hAnsi="Times New Roman" w:eastAsia="仿宋_GB2312"/>
                <w:sz w:val="22"/>
              </w:rPr>
              <w:t>一汽红塔于1997年5月27日成立于中国云南省曲靖市。一汽红塔在中国境内主要从事轻型载货车、轻型客车、新能源汽车</w:t>
            </w:r>
            <w:r>
              <w:rPr>
                <w:rFonts w:hint="eastAsia" w:ascii="Times New Roman" w:hAnsi="Times New Roman" w:eastAsia="仿宋_GB2312"/>
                <w:sz w:val="22"/>
              </w:rPr>
              <w:t>的生产和销售</w:t>
            </w:r>
            <w:r>
              <w:rPr>
                <w:rFonts w:hint="eastAsia" w:ascii="Times New Roman" w:hAnsi="Times New Roman" w:eastAsia="仿宋_GB2312"/>
                <w:sz w:val="22"/>
                <w:lang w:eastAsia="zh-CN"/>
              </w:rPr>
              <w:t>业务</w:t>
            </w:r>
            <w:bookmarkStart w:id="0" w:name="_GoBack"/>
            <w:bookmarkEnd w:id="0"/>
            <w:r>
              <w:rPr>
                <w:rFonts w:ascii="Times New Roman" w:hAnsi="Times New Roman" w:eastAsia="仿宋_GB2312"/>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ascii="Times New Roman" w:hAnsi="Times New Roman" w:eastAsia="仿宋_GB2312"/>
                <w:kern w:val="0"/>
                <w:sz w:val="22"/>
              </w:rPr>
            </w:pPr>
            <w:r>
              <w:rPr>
                <w:rFonts w:ascii="Times New Roman" w:hAnsi="Times New Roman" w:eastAsia="仿宋_GB2312"/>
                <w:kern w:val="0"/>
                <w:sz w:val="22"/>
              </w:rPr>
              <w:t>简易案件理由（可以单选，也可以多选）</w:t>
            </w:r>
          </w:p>
        </w:tc>
        <w:tc>
          <w:tcPr>
            <w:tcW w:w="6949" w:type="dxa"/>
            <w:gridSpan w:val="2"/>
          </w:tcPr>
          <w:p>
            <w:pPr>
              <w:rPr>
                <w:rFonts w:ascii="Times New Roman" w:hAnsi="Times New Roman" w:eastAsia="仿宋_GB2312"/>
                <w:kern w:val="0"/>
                <w:sz w:val="22"/>
              </w:rPr>
            </w:pPr>
            <w:r>
              <w:rPr>
                <w:rFonts w:ascii="Times New Roman" w:hAnsi="Times New Roman" w:eastAsia="仿宋_GB2312"/>
                <w:kern w:val="0"/>
                <w:sz w:val="22"/>
              </w:rPr>
              <w:sym w:font="Wingdings" w:char="F0FE"/>
            </w:r>
            <w:r>
              <w:rPr>
                <w:rFonts w:ascii="Times New Roman" w:hAnsi="Times New Roman" w:eastAsia="仿宋_GB2312"/>
                <w:kern w:val="0"/>
                <w:sz w:val="22"/>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jc w:val="center"/>
              <w:rPr>
                <w:rFonts w:ascii="Times New Roman" w:hAnsi="Times New Roman" w:eastAsia="仿宋_GB2312"/>
                <w:kern w:val="0"/>
                <w:sz w:val="22"/>
              </w:rPr>
            </w:pPr>
          </w:p>
        </w:tc>
        <w:tc>
          <w:tcPr>
            <w:tcW w:w="6949" w:type="dxa"/>
            <w:gridSpan w:val="2"/>
          </w:tcPr>
          <w:p>
            <w:pPr>
              <w:rPr>
                <w:rFonts w:ascii="Times New Roman" w:hAnsi="Times New Roman" w:eastAsia="仿宋_GB2312"/>
                <w:kern w:val="0"/>
                <w:sz w:val="22"/>
              </w:rPr>
            </w:pPr>
            <w:r>
              <w:rPr>
                <w:rFonts w:ascii="Times New Roman" w:hAnsi="Times New Roman" w:eastAsia="仿宋_GB2312"/>
                <w:kern w:val="0"/>
                <w:sz w:val="22"/>
              </w:rPr>
              <w:sym w:font="Wingdings" w:char="F0FE"/>
            </w:r>
            <w:r>
              <w:rPr>
                <w:rFonts w:ascii="Times New Roman" w:hAnsi="Times New Roman" w:eastAsia="仿宋_GB2312"/>
                <w:kern w:val="0"/>
                <w:sz w:val="2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jc w:val="center"/>
              <w:rPr>
                <w:rFonts w:ascii="Times New Roman" w:hAnsi="Times New Roman" w:eastAsia="仿宋_GB2312"/>
                <w:kern w:val="0"/>
                <w:sz w:val="22"/>
              </w:rPr>
            </w:pPr>
          </w:p>
        </w:tc>
        <w:tc>
          <w:tcPr>
            <w:tcW w:w="6949" w:type="dxa"/>
            <w:gridSpan w:val="2"/>
          </w:tcPr>
          <w:p>
            <w:pPr>
              <w:rPr>
                <w:rFonts w:ascii="Times New Roman" w:hAnsi="Times New Roman" w:eastAsia="仿宋_GB2312"/>
                <w:kern w:val="0"/>
                <w:sz w:val="22"/>
              </w:rPr>
            </w:pPr>
            <w:r>
              <w:rPr>
                <w:rFonts w:ascii="Times New Roman" w:hAnsi="Times New Roman" w:eastAsia="仿宋_GB2312"/>
                <w:kern w:val="0"/>
                <w:sz w:val="22"/>
              </w:rPr>
              <w:sym w:font="Wingdings" w:char="F0A8"/>
            </w:r>
            <w:r>
              <w:rPr>
                <w:rFonts w:ascii="Times New Roman" w:hAnsi="Times New Roman" w:eastAsia="仿宋_GB2312"/>
                <w:kern w:val="0"/>
                <w:sz w:val="22"/>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809" w:type="dxa"/>
            <w:vMerge w:val="continue"/>
            <w:shd w:val="clear" w:color="auto" w:fill="D9D9D9"/>
            <w:vAlign w:val="center"/>
          </w:tcPr>
          <w:p>
            <w:pPr>
              <w:jc w:val="center"/>
              <w:rPr>
                <w:rFonts w:ascii="Times New Roman" w:hAnsi="Times New Roman" w:eastAsia="仿宋_GB2312"/>
                <w:kern w:val="0"/>
                <w:sz w:val="22"/>
              </w:rPr>
            </w:pPr>
          </w:p>
        </w:tc>
        <w:tc>
          <w:tcPr>
            <w:tcW w:w="6949" w:type="dxa"/>
            <w:gridSpan w:val="2"/>
          </w:tcPr>
          <w:p>
            <w:pPr>
              <w:rPr>
                <w:rFonts w:ascii="Times New Roman" w:hAnsi="Times New Roman" w:eastAsia="仿宋_GB2312"/>
                <w:kern w:val="0"/>
                <w:sz w:val="22"/>
              </w:rPr>
            </w:pPr>
            <w:r>
              <w:rPr>
                <w:rFonts w:ascii="Times New Roman" w:hAnsi="Times New Roman" w:eastAsia="仿宋_GB2312"/>
                <w:kern w:val="0"/>
                <w:sz w:val="22"/>
              </w:rPr>
              <w:sym w:font="Wingdings" w:char="F0A8"/>
            </w:r>
            <w:r>
              <w:rPr>
                <w:rFonts w:ascii="Times New Roman" w:hAnsi="Times New Roman" w:eastAsia="仿宋_GB2312"/>
                <w:kern w:val="0"/>
                <w:sz w:val="22"/>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jc w:val="center"/>
              <w:rPr>
                <w:rFonts w:ascii="Times New Roman" w:hAnsi="Times New Roman" w:eastAsia="仿宋_GB2312"/>
                <w:kern w:val="0"/>
                <w:sz w:val="22"/>
              </w:rPr>
            </w:pPr>
          </w:p>
        </w:tc>
        <w:tc>
          <w:tcPr>
            <w:tcW w:w="6949" w:type="dxa"/>
            <w:gridSpan w:val="2"/>
          </w:tcPr>
          <w:p>
            <w:pPr>
              <w:rPr>
                <w:rFonts w:ascii="Times New Roman" w:hAnsi="Times New Roman" w:eastAsia="仿宋_GB2312"/>
                <w:kern w:val="0"/>
                <w:sz w:val="22"/>
              </w:rPr>
            </w:pPr>
            <w:r>
              <w:rPr>
                <w:rFonts w:ascii="Times New Roman" w:hAnsi="Times New Roman" w:eastAsia="仿宋_GB2312"/>
                <w:kern w:val="0"/>
                <w:sz w:val="22"/>
              </w:rPr>
              <w:sym w:font="Wingdings" w:char="F0A8"/>
            </w:r>
            <w:r>
              <w:rPr>
                <w:rFonts w:ascii="Times New Roman" w:hAnsi="Times New Roman" w:eastAsia="仿宋_GB2312"/>
                <w:kern w:val="0"/>
                <w:sz w:val="22"/>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jc w:val="center"/>
              <w:rPr>
                <w:rFonts w:ascii="Times New Roman" w:hAnsi="Times New Roman" w:eastAsia="仿宋_GB2312"/>
                <w:kern w:val="0"/>
                <w:sz w:val="22"/>
              </w:rPr>
            </w:pPr>
          </w:p>
        </w:tc>
        <w:tc>
          <w:tcPr>
            <w:tcW w:w="6949" w:type="dxa"/>
            <w:gridSpan w:val="2"/>
          </w:tcPr>
          <w:p>
            <w:pPr>
              <w:rPr>
                <w:rFonts w:ascii="Times New Roman" w:hAnsi="Times New Roman" w:eastAsia="仿宋_GB2312"/>
                <w:kern w:val="0"/>
                <w:sz w:val="22"/>
              </w:rPr>
            </w:pPr>
            <w:r>
              <w:rPr>
                <w:rFonts w:ascii="Times New Roman" w:hAnsi="Times New Roman" w:eastAsia="仿宋_GB2312"/>
                <w:kern w:val="0"/>
                <w:sz w:val="22"/>
              </w:rPr>
              <w:sym w:font="Wingdings" w:char="F0A8"/>
            </w:r>
            <w:r>
              <w:rPr>
                <w:rFonts w:ascii="Times New Roman" w:hAnsi="Times New Roman" w:eastAsia="仿宋_GB2312"/>
                <w:kern w:val="0"/>
                <w:sz w:val="22"/>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Times New Roman" w:hAnsi="Times New Roman" w:eastAsia="仿宋_GB2312"/>
                <w:kern w:val="0"/>
                <w:sz w:val="22"/>
              </w:rPr>
            </w:pPr>
            <w:r>
              <w:rPr>
                <w:rFonts w:ascii="Times New Roman" w:hAnsi="Times New Roman" w:eastAsia="仿宋_GB2312"/>
                <w:kern w:val="0"/>
                <w:sz w:val="22"/>
              </w:rPr>
              <w:t>备注</w:t>
            </w:r>
          </w:p>
        </w:tc>
        <w:tc>
          <w:tcPr>
            <w:tcW w:w="6949" w:type="dxa"/>
            <w:gridSpan w:val="2"/>
          </w:tcPr>
          <w:p>
            <w:pPr>
              <w:rPr>
                <w:rFonts w:ascii="Times New Roman" w:hAnsi="Times New Roman" w:eastAsia="仿宋_GB2312"/>
                <w:sz w:val="22"/>
              </w:rPr>
            </w:pPr>
            <w:r>
              <w:rPr>
                <w:rFonts w:ascii="Times New Roman" w:hAnsi="Times New Roman" w:eastAsia="仿宋_GB2312"/>
                <w:sz w:val="22"/>
              </w:rPr>
              <w:t xml:space="preserve">横向重叠： </w:t>
            </w:r>
          </w:p>
          <w:p>
            <w:pPr>
              <w:rPr>
                <w:rFonts w:ascii="Times New Roman" w:hAnsi="Times New Roman" w:eastAsia="仿宋_GB2312"/>
                <w:sz w:val="22"/>
              </w:rPr>
            </w:pPr>
            <w:r>
              <w:rPr>
                <w:rFonts w:ascii="Times New Roman" w:hAnsi="Times New Roman" w:eastAsia="仿宋_GB2312"/>
                <w:sz w:val="22"/>
              </w:rPr>
              <w:t>2021年中国境内轻型载货汽车市场：</w:t>
            </w:r>
          </w:p>
          <w:p>
            <w:pPr>
              <w:rPr>
                <w:rFonts w:ascii="Times New Roman" w:hAnsi="Times New Roman" w:eastAsia="仿宋_GB2312"/>
                <w:sz w:val="22"/>
              </w:rPr>
            </w:pPr>
            <w:r>
              <w:rPr>
                <w:rFonts w:ascii="Times New Roman" w:hAnsi="Times New Roman" w:eastAsia="仿宋_GB2312"/>
                <w:sz w:val="22"/>
              </w:rPr>
              <w:t>一汽股份[0-5]%；一汽红塔[0-5]%，双方合计：[0-5]%。</w:t>
            </w:r>
          </w:p>
          <w:p>
            <w:pPr>
              <w:rPr>
                <w:rFonts w:ascii="Times New Roman" w:hAnsi="Times New Roman" w:eastAsia="仿宋_GB2312"/>
                <w:sz w:val="22"/>
              </w:rPr>
            </w:pPr>
            <w:r>
              <w:rPr>
                <w:rFonts w:ascii="Times New Roman" w:hAnsi="Times New Roman" w:eastAsia="仿宋_GB2312"/>
                <w:sz w:val="22"/>
              </w:rPr>
              <w:t>纵向关联：</w:t>
            </w:r>
          </w:p>
          <w:p>
            <w:pPr>
              <w:rPr>
                <w:rFonts w:ascii="Times New Roman" w:hAnsi="Times New Roman" w:eastAsia="仿宋_GB2312"/>
                <w:sz w:val="22"/>
              </w:rPr>
            </w:pPr>
            <w:r>
              <w:rPr>
                <w:rFonts w:ascii="Times New Roman" w:hAnsi="Times New Roman" w:eastAsia="仿宋_GB2312"/>
                <w:sz w:val="22"/>
              </w:rPr>
              <w:t>上游：2021年中国境内轻型载货汽车用柴油发动机市场</w:t>
            </w:r>
          </w:p>
          <w:p>
            <w:pPr>
              <w:rPr>
                <w:rFonts w:ascii="Times New Roman" w:hAnsi="Times New Roman" w:eastAsia="仿宋_GB2312"/>
                <w:sz w:val="22"/>
              </w:rPr>
            </w:pPr>
            <w:r>
              <w:rPr>
                <w:rFonts w:ascii="Times New Roman" w:hAnsi="Times New Roman" w:eastAsia="仿宋_GB2312"/>
                <w:sz w:val="22"/>
              </w:rPr>
              <w:t>一汽股份[5-10]%。</w:t>
            </w:r>
          </w:p>
          <w:p>
            <w:pPr>
              <w:rPr>
                <w:rFonts w:ascii="Times New Roman" w:hAnsi="Times New Roman" w:eastAsia="仿宋_GB2312"/>
                <w:sz w:val="22"/>
              </w:rPr>
            </w:pPr>
            <w:r>
              <w:rPr>
                <w:rFonts w:ascii="Times New Roman" w:hAnsi="Times New Roman" w:eastAsia="仿宋_GB2312"/>
                <w:sz w:val="22"/>
              </w:rPr>
              <w:t>下游：2021年中国境内轻型载货汽车市场：</w:t>
            </w:r>
          </w:p>
          <w:p>
            <w:pPr>
              <w:rPr>
                <w:rFonts w:ascii="Times New Roman" w:hAnsi="Times New Roman" w:eastAsia="仿宋_GB2312"/>
                <w:sz w:val="22"/>
              </w:rPr>
            </w:pPr>
            <w:r>
              <w:rPr>
                <w:rFonts w:ascii="Times New Roman" w:hAnsi="Times New Roman" w:eastAsia="仿宋_GB2312"/>
                <w:sz w:val="22"/>
              </w:rPr>
              <w:t>一汽股份[0-5]% ；一汽红塔[0-5]%，双方合计：[0-5]%。</w:t>
            </w:r>
          </w:p>
        </w:tc>
      </w:tr>
    </w:tbl>
    <w:p>
      <w:pPr>
        <w:snapToGrid w:val="0"/>
        <w:spacing w:line="240" w:lineRule="exact"/>
        <w:jc w:val="left"/>
        <w:rPr>
          <w:rFonts w:ascii="Times New Roman" w:hAnsi="Times New Roman" w:eastAsia="仿宋_GB2312"/>
          <w:sz w:val="22"/>
        </w:rPr>
      </w:pPr>
    </w:p>
    <w:p>
      <w:pPr>
        <w:snapToGrid w:val="0"/>
        <w:spacing w:line="500" w:lineRule="exact"/>
        <w:jc w:val="left"/>
        <w:rPr>
          <w:rFonts w:ascii="Times New Roman" w:hAnsi="Times New Roman" w:eastAsia="仿宋_GB2312"/>
          <w:sz w:val="22"/>
        </w:rPr>
      </w:pPr>
      <w:r>
        <w:rPr>
          <w:rFonts w:ascii="Times New Roman" w:hAnsi="Times New Roman" w:eastAsia="仿宋_GB2312"/>
          <w:sz w:val="22"/>
        </w:rPr>
        <w:t>注解：</w:t>
      </w:r>
    </w:p>
    <w:p>
      <w:pPr>
        <w:snapToGrid w:val="0"/>
        <w:spacing w:line="500" w:lineRule="exact"/>
        <w:ind w:firstLine="440" w:firstLineChars="200"/>
        <w:jc w:val="left"/>
        <w:rPr>
          <w:rFonts w:ascii="Times New Roman" w:hAnsi="Times New Roman" w:eastAsia="仿宋_GB2312"/>
          <w:sz w:val="22"/>
        </w:rPr>
      </w:pPr>
      <w:r>
        <w:rPr>
          <w:rFonts w:ascii="Times New Roman" w:hAnsi="Times New Roman" w:eastAsia="仿宋_GB2312"/>
          <w:sz w:val="22"/>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500" w:lineRule="exact"/>
        <w:ind w:firstLine="440" w:firstLineChars="200"/>
        <w:rPr>
          <w:rFonts w:ascii="Times New Roman" w:hAnsi="Times New Roman" w:eastAsia="仿宋_GB2312"/>
          <w:sz w:val="22"/>
        </w:rPr>
      </w:pPr>
      <w:r>
        <w:rPr>
          <w:rFonts w:ascii="Times New Roman" w:hAnsi="Times New Roman" w:eastAsia="仿宋_GB2312"/>
          <w:sz w:val="22"/>
        </w:rPr>
        <w:t>2、申报方申请简易案件的理由是基于第4项、第5项时，无须在备注中说明相关市场和市场份额。</w:t>
      </w:r>
      <w:r>
        <w:rPr>
          <w:rFonts w:ascii="Times New Roman" w:hAnsi="Times New Roman" w:eastAsia="仿宋_GB2312"/>
          <w:sz w:val="22"/>
        </w:rPr>
        <w:br w:type="textWrapping"/>
      </w:r>
      <w:r>
        <w:rPr>
          <w:rFonts w:ascii="Times New Roman" w:hAnsi="Times New Roman" w:eastAsia="仿宋_GB2312"/>
          <w:sz w:val="22"/>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0F3C52" w:usb2="00000016" w:usb3="00000000" w:csb0="0004001F"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938750"/>
      <w:docPartObj>
        <w:docPartGallery w:val="AutoText"/>
      </w:docPartObj>
    </w:sdtPr>
    <w:sdtEndPr>
      <w:rPr>
        <w:rFonts w:ascii="Times New Roman" w:hAnsi="Times New Roman"/>
      </w:rPr>
    </w:sdtEndPr>
    <w:sdtContent>
      <w:p>
        <w:pPr>
          <w:pStyle w:val="4"/>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365A"/>
    <w:rsid w:val="00007547"/>
    <w:rsid w:val="00011483"/>
    <w:rsid w:val="00014FC1"/>
    <w:rsid w:val="00037065"/>
    <w:rsid w:val="00037116"/>
    <w:rsid w:val="000457C2"/>
    <w:rsid w:val="00052EBE"/>
    <w:rsid w:val="000603B0"/>
    <w:rsid w:val="0006636C"/>
    <w:rsid w:val="000707A2"/>
    <w:rsid w:val="00081C66"/>
    <w:rsid w:val="00083EBD"/>
    <w:rsid w:val="00084E2D"/>
    <w:rsid w:val="000879A7"/>
    <w:rsid w:val="00091700"/>
    <w:rsid w:val="0009214D"/>
    <w:rsid w:val="0009414B"/>
    <w:rsid w:val="00096C95"/>
    <w:rsid w:val="00097D26"/>
    <w:rsid w:val="000C0BD7"/>
    <w:rsid w:val="000D6584"/>
    <w:rsid w:val="000D7EBA"/>
    <w:rsid w:val="000E1DFE"/>
    <w:rsid w:val="000E7DF2"/>
    <w:rsid w:val="0011223F"/>
    <w:rsid w:val="001164CD"/>
    <w:rsid w:val="001273DC"/>
    <w:rsid w:val="001430C8"/>
    <w:rsid w:val="00154B65"/>
    <w:rsid w:val="00155592"/>
    <w:rsid w:val="00155717"/>
    <w:rsid w:val="001721E9"/>
    <w:rsid w:val="00176997"/>
    <w:rsid w:val="001837A3"/>
    <w:rsid w:val="001B02C2"/>
    <w:rsid w:val="001E554B"/>
    <w:rsid w:val="002047CB"/>
    <w:rsid w:val="002121B2"/>
    <w:rsid w:val="0021619C"/>
    <w:rsid w:val="00225248"/>
    <w:rsid w:val="00227844"/>
    <w:rsid w:val="002278C7"/>
    <w:rsid w:val="00231D28"/>
    <w:rsid w:val="00247FF8"/>
    <w:rsid w:val="002556AE"/>
    <w:rsid w:val="002A1585"/>
    <w:rsid w:val="002B7861"/>
    <w:rsid w:val="002F5F95"/>
    <w:rsid w:val="002F72A4"/>
    <w:rsid w:val="00310CE8"/>
    <w:rsid w:val="00322FB7"/>
    <w:rsid w:val="0034459E"/>
    <w:rsid w:val="00344A1C"/>
    <w:rsid w:val="003643AC"/>
    <w:rsid w:val="00367E03"/>
    <w:rsid w:val="003708E9"/>
    <w:rsid w:val="00387C7B"/>
    <w:rsid w:val="00390C5B"/>
    <w:rsid w:val="0039444E"/>
    <w:rsid w:val="003A29D0"/>
    <w:rsid w:val="003A61DC"/>
    <w:rsid w:val="003B23BB"/>
    <w:rsid w:val="003C0AEB"/>
    <w:rsid w:val="003C1714"/>
    <w:rsid w:val="003D2B29"/>
    <w:rsid w:val="003E5DBC"/>
    <w:rsid w:val="003F0C5E"/>
    <w:rsid w:val="003F7EAE"/>
    <w:rsid w:val="004061E7"/>
    <w:rsid w:val="00411E0E"/>
    <w:rsid w:val="004137CA"/>
    <w:rsid w:val="00415A67"/>
    <w:rsid w:val="004343E6"/>
    <w:rsid w:val="00442B8B"/>
    <w:rsid w:val="0044374A"/>
    <w:rsid w:val="00453DB6"/>
    <w:rsid w:val="004876AC"/>
    <w:rsid w:val="004A45D9"/>
    <w:rsid w:val="004A5C17"/>
    <w:rsid w:val="004B1A28"/>
    <w:rsid w:val="004D050A"/>
    <w:rsid w:val="004E2E18"/>
    <w:rsid w:val="004E53BB"/>
    <w:rsid w:val="004F7688"/>
    <w:rsid w:val="00503F87"/>
    <w:rsid w:val="005212F4"/>
    <w:rsid w:val="00527025"/>
    <w:rsid w:val="005424FD"/>
    <w:rsid w:val="00555350"/>
    <w:rsid w:val="005831F4"/>
    <w:rsid w:val="0059310C"/>
    <w:rsid w:val="005A29AF"/>
    <w:rsid w:val="005A59A1"/>
    <w:rsid w:val="005B3AC8"/>
    <w:rsid w:val="005E25E2"/>
    <w:rsid w:val="005F473B"/>
    <w:rsid w:val="005F72C8"/>
    <w:rsid w:val="00603B04"/>
    <w:rsid w:val="00607776"/>
    <w:rsid w:val="00612590"/>
    <w:rsid w:val="00616274"/>
    <w:rsid w:val="00623031"/>
    <w:rsid w:val="00635B25"/>
    <w:rsid w:val="006467D8"/>
    <w:rsid w:val="00657517"/>
    <w:rsid w:val="00673BCC"/>
    <w:rsid w:val="006970D8"/>
    <w:rsid w:val="006A531B"/>
    <w:rsid w:val="006A74E8"/>
    <w:rsid w:val="006B159E"/>
    <w:rsid w:val="006C246E"/>
    <w:rsid w:val="006D0D0E"/>
    <w:rsid w:val="006D15BB"/>
    <w:rsid w:val="006D6C9A"/>
    <w:rsid w:val="006D6D97"/>
    <w:rsid w:val="006E6AAF"/>
    <w:rsid w:val="006F219A"/>
    <w:rsid w:val="006F498C"/>
    <w:rsid w:val="006F7693"/>
    <w:rsid w:val="0070182C"/>
    <w:rsid w:val="00710140"/>
    <w:rsid w:val="007544B6"/>
    <w:rsid w:val="00754894"/>
    <w:rsid w:val="00756FE2"/>
    <w:rsid w:val="0078013A"/>
    <w:rsid w:val="00782199"/>
    <w:rsid w:val="007916B1"/>
    <w:rsid w:val="00792B9B"/>
    <w:rsid w:val="00797E85"/>
    <w:rsid w:val="007A7644"/>
    <w:rsid w:val="007B1F41"/>
    <w:rsid w:val="007F2275"/>
    <w:rsid w:val="0082056A"/>
    <w:rsid w:val="00831DFB"/>
    <w:rsid w:val="00842A25"/>
    <w:rsid w:val="00842F25"/>
    <w:rsid w:val="00863B9B"/>
    <w:rsid w:val="008664EF"/>
    <w:rsid w:val="0086698D"/>
    <w:rsid w:val="00874A0E"/>
    <w:rsid w:val="008845B4"/>
    <w:rsid w:val="00890912"/>
    <w:rsid w:val="008918F7"/>
    <w:rsid w:val="00893FA1"/>
    <w:rsid w:val="00897A6F"/>
    <w:rsid w:val="008A04B8"/>
    <w:rsid w:val="008B10FE"/>
    <w:rsid w:val="008B203C"/>
    <w:rsid w:val="008B7D2E"/>
    <w:rsid w:val="008D1308"/>
    <w:rsid w:val="008E498A"/>
    <w:rsid w:val="00903D16"/>
    <w:rsid w:val="00904270"/>
    <w:rsid w:val="00915F0F"/>
    <w:rsid w:val="009373A6"/>
    <w:rsid w:val="009458CE"/>
    <w:rsid w:val="009532DF"/>
    <w:rsid w:val="00965990"/>
    <w:rsid w:val="00997019"/>
    <w:rsid w:val="009A060A"/>
    <w:rsid w:val="009A4835"/>
    <w:rsid w:val="009A5029"/>
    <w:rsid w:val="009C1A53"/>
    <w:rsid w:val="009C217A"/>
    <w:rsid w:val="009D38D5"/>
    <w:rsid w:val="009E156A"/>
    <w:rsid w:val="009E3FAE"/>
    <w:rsid w:val="009E5671"/>
    <w:rsid w:val="00A003FC"/>
    <w:rsid w:val="00A05F36"/>
    <w:rsid w:val="00A06D87"/>
    <w:rsid w:val="00A101F6"/>
    <w:rsid w:val="00A2747A"/>
    <w:rsid w:val="00A33462"/>
    <w:rsid w:val="00A3742E"/>
    <w:rsid w:val="00A4363F"/>
    <w:rsid w:val="00A47BF5"/>
    <w:rsid w:val="00A53F26"/>
    <w:rsid w:val="00A619A3"/>
    <w:rsid w:val="00A63674"/>
    <w:rsid w:val="00A64B02"/>
    <w:rsid w:val="00A6739B"/>
    <w:rsid w:val="00A72FE6"/>
    <w:rsid w:val="00A848DE"/>
    <w:rsid w:val="00A924EB"/>
    <w:rsid w:val="00AA00C2"/>
    <w:rsid w:val="00AA061F"/>
    <w:rsid w:val="00AA0CC5"/>
    <w:rsid w:val="00AA1AFD"/>
    <w:rsid w:val="00AA2BEF"/>
    <w:rsid w:val="00AC43AC"/>
    <w:rsid w:val="00AF32F5"/>
    <w:rsid w:val="00B14FED"/>
    <w:rsid w:val="00B16AFE"/>
    <w:rsid w:val="00B2699E"/>
    <w:rsid w:val="00B3285F"/>
    <w:rsid w:val="00B3353C"/>
    <w:rsid w:val="00B342E3"/>
    <w:rsid w:val="00B34B9F"/>
    <w:rsid w:val="00B65DD5"/>
    <w:rsid w:val="00B700B6"/>
    <w:rsid w:val="00B70E71"/>
    <w:rsid w:val="00B77C58"/>
    <w:rsid w:val="00B77EF7"/>
    <w:rsid w:val="00B81805"/>
    <w:rsid w:val="00B91486"/>
    <w:rsid w:val="00BA232F"/>
    <w:rsid w:val="00BA3488"/>
    <w:rsid w:val="00BC0276"/>
    <w:rsid w:val="00BC30F5"/>
    <w:rsid w:val="00BC37C6"/>
    <w:rsid w:val="00BD0995"/>
    <w:rsid w:val="00BD0D99"/>
    <w:rsid w:val="00BD10B6"/>
    <w:rsid w:val="00BE26B3"/>
    <w:rsid w:val="00BE7128"/>
    <w:rsid w:val="00BF7194"/>
    <w:rsid w:val="00C06588"/>
    <w:rsid w:val="00C07076"/>
    <w:rsid w:val="00C11B04"/>
    <w:rsid w:val="00C32415"/>
    <w:rsid w:val="00C35EDD"/>
    <w:rsid w:val="00C625D6"/>
    <w:rsid w:val="00C6341B"/>
    <w:rsid w:val="00C65F98"/>
    <w:rsid w:val="00C72BB0"/>
    <w:rsid w:val="00C84515"/>
    <w:rsid w:val="00C863D1"/>
    <w:rsid w:val="00C93EE3"/>
    <w:rsid w:val="00CB00DF"/>
    <w:rsid w:val="00CB287C"/>
    <w:rsid w:val="00CC6B5F"/>
    <w:rsid w:val="00CD5AD2"/>
    <w:rsid w:val="00CD7B78"/>
    <w:rsid w:val="00D02B09"/>
    <w:rsid w:val="00D4291D"/>
    <w:rsid w:val="00D61668"/>
    <w:rsid w:val="00D620BE"/>
    <w:rsid w:val="00D64A2A"/>
    <w:rsid w:val="00D7127A"/>
    <w:rsid w:val="00D73C72"/>
    <w:rsid w:val="00D81976"/>
    <w:rsid w:val="00DA4265"/>
    <w:rsid w:val="00DA5A8E"/>
    <w:rsid w:val="00DA609F"/>
    <w:rsid w:val="00DE0A77"/>
    <w:rsid w:val="00DE2702"/>
    <w:rsid w:val="00DF0A95"/>
    <w:rsid w:val="00E0592B"/>
    <w:rsid w:val="00E07B6B"/>
    <w:rsid w:val="00E11B10"/>
    <w:rsid w:val="00E23275"/>
    <w:rsid w:val="00E27EC9"/>
    <w:rsid w:val="00E31738"/>
    <w:rsid w:val="00E54514"/>
    <w:rsid w:val="00E56E02"/>
    <w:rsid w:val="00E70310"/>
    <w:rsid w:val="00E73506"/>
    <w:rsid w:val="00E832A2"/>
    <w:rsid w:val="00E86786"/>
    <w:rsid w:val="00E939DC"/>
    <w:rsid w:val="00EA045B"/>
    <w:rsid w:val="00EA0F36"/>
    <w:rsid w:val="00EB61AD"/>
    <w:rsid w:val="00EC7441"/>
    <w:rsid w:val="00ED1717"/>
    <w:rsid w:val="00ED2F80"/>
    <w:rsid w:val="00ED60DF"/>
    <w:rsid w:val="00EE3867"/>
    <w:rsid w:val="00EE39F3"/>
    <w:rsid w:val="00EE7453"/>
    <w:rsid w:val="00EE7A40"/>
    <w:rsid w:val="00EF42DD"/>
    <w:rsid w:val="00EF5FB9"/>
    <w:rsid w:val="00F10E7C"/>
    <w:rsid w:val="00F1624E"/>
    <w:rsid w:val="00F32F8A"/>
    <w:rsid w:val="00F331B0"/>
    <w:rsid w:val="00F40985"/>
    <w:rsid w:val="00F40F87"/>
    <w:rsid w:val="00F42E0E"/>
    <w:rsid w:val="00F46E0E"/>
    <w:rsid w:val="00F507CB"/>
    <w:rsid w:val="00F564AF"/>
    <w:rsid w:val="00F65830"/>
    <w:rsid w:val="00F70290"/>
    <w:rsid w:val="00F7794A"/>
    <w:rsid w:val="00F810AA"/>
    <w:rsid w:val="00F91A2E"/>
    <w:rsid w:val="00F92424"/>
    <w:rsid w:val="00F94E15"/>
    <w:rsid w:val="00F97BEA"/>
    <w:rsid w:val="00FB43EC"/>
    <w:rsid w:val="00FB6B40"/>
    <w:rsid w:val="79F72E7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rFonts w:ascii="Calibri" w:hAnsi="Calibri" w:eastAsia="宋体" w:cs="Times New Roman"/>
      <w:sz w:val="18"/>
      <w:szCs w:val="18"/>
    </w:rPr>
  </w:style>
  <w:style w:type="character" w:customStyle="1" w:styleId="11">
    <w:name w:val="页脚 字符"/>
    <w:basedOn w:val="8"/>
    <w:link w:val="4"/>
    <w:qFormat/>
    <w:uiPriority w:val="99"/>
    <w:rPr>
      <w:rFonts w:ascii="Calibri" w:hAnsi="Calibri" w:eastAsia="宋体" w:cs="Times New Roman"/>
      <w:sz w:val="18"/>
      <w:szCs w:val="18"/>
    </w:rPr>
  </w:style>
  <w:style w:type="paragraph" w:styleId="12">
    <w:name w:val="List Paragraph"/>
    <w:basedOn w:val="1"/>
    <w:qFormat/>
    <w:uiPriority w:val="34"/>
    <w:pPr>
      <w:ind w:firstLine="420" w:firstLineChars="200"/>
    </w:pPr>
  </w:style>
  <w:style w:type="character" w:customStyle="1" w:styleId="13">
    <w:name w:val="批注框文本 字符"/>
    <w:basedOn w:val="8"/>
    <w:link w:val="3"/>
    <w:semiHidden/>
    <w:qFormat/>
    <w:uiPriority w:val="99"/>
    <w:rPr>
      <w:rFonts w:ascii="Calibri" w:hAnsi="Calibri" w:eastAsia="宋体" w:cs="Times New Roman"/>
      <w:sz w:val="18"/>
      <w:szCs w:val="18"/>
    </w:rPr>
  </w:style>
  <w:style w:type="character" w:customStyle="1" w:styleId="14">
    <w:name w:val="批注文字 字符"/>
    <w:basedOn w:val="8"/>
    <w:link w:val="2"/>
    <w:semiHidden/>
    <w:qFormat/>
    <w:uiPriority w:val="99"/>
    <w:rPr>
      <w:rFonts w:ascii="Calibri" w:hAnsi="Calibri" w:eastAsia="宋体" w:cs="Times New Roman"/>
    </w:rPr>
  </w:style>
  <w:style w:type="character" w:customStyle="1" w:styleId="15">
    <w:name w:val="批注主题 字符"/>
    <w:basedOn w:val="14"/>
    <w:link w:val="6"/>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211</Words>
  <Characters>1207</Characters>
  <Lines>10</Lines>
  <Paragraphs>2</Paragraphs>
  <TotalTime>0</TotalTime>
  <ScaleCrop>false</ScaleCrop>
  <LinksUpToDate>false</LinksUpToDate>
  <CharactersWithSpaces>1416</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2022-05-05T11:51:00Z</dcterms:created>
  <dc:creator>陈媚</dc:creator>
  <cp:lastModifiedBy>greatwall</cp:lastModifiedBy>
  <cp:lastPrinted>2019-01-29T09:56:00Z</cp:lastPrinted>
  <dcterms:modified xsi:type="dcterms:W3CDTF">2022-07-04T15:49:45Z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