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bookmarkStart w:id="0" w:name="_GoBack"/>
      <w:bookmarkEnd w:id="0"/>
      <w:r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7"/>
        <w:tblW w:w="92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588"/>
        <w:gridCol w:w="58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案件名称</w:t>
            </w:r>
          </w:p>
        </w:tc>
        <w:tc>
          <w:tcPr>
            <w:tcW w:w="7400" w:type="dxa"/>
            <w:gridSpan w:val="2"/>
            <w:vAlign w:val="center"/>
          </w:tcPr>
          <w:p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1"/>
              </w:rPr>
              <w:t>AEA投资者有限合伙企业收购宝克集团有限公司股权案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4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交易概况</w:t>
            </w:r>
          </w:p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（限200字内）</w:t>
            </w:r>
          </w:p>
        </w:tc>
        <w:tc>
          <w:tcPr>
            <w:tcW w:w="7400" w:type="dxa"/>
            <w:gridSpan w:val="2"/>
            <w:vAlign w:val="center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1"/>
              </w:rPr>
              <w:t>AEA投资者有限合伙企业（</w:t>
            </w:r>
            <w:r>
              <w:rPr>
                <w:rFonts w:ascii="Times New Roman" w:hAnsi="Times New Roman"/>
                <w:kern w:val="0"/>
                <w:sz w:val="24"/>
                <w:szCs w:val="21"/>
              </w:rPr>
              <w:t>“</w:t>
            </w:r>
            <w:r>
              <w:rPr>
                <w:rFonts w:hint="eastAsia" w:ascii="Times New Roman" w:hAnsi="Times New Roman"/>
                <w:b/>
                <w:kern w:val="0"/>
                <w:sz w:val="24"/>
                <w:szCs w:val="21"/>
              </w:rPr>
              <w:t>AEA</w:t>
            </w:r>
            <w:r>
              <w:rPr>
                <w:rFonts w:ascii="Times New Roman" w:hAnsi="Times New Roman"/>
                <w:kern w:val="0"/>
                <w:sz w:val="24"/>
                <w:szCs w:val="21"/>
              </w:rPr>
              <w:t>”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</w:rPr>
              <w:t>）、宝克集团有限公司</w:t>
            </w:r>
            <w:r>
              <w:rPr>
                <w:rFonts w:hint="eastAsia" w:ascii="宋体" w:hAnsi="宋体"/>
                <w:kern w:val="0"/>
                <w:sz w:val="24"/>
                <w:szCs w:val="21"/>
              </w:rPr>
              <w:t>（</w:t>
            </w:r>
            <w:r>
              <w:rPr>
                <w:rFonts w:ascii="宋体" w:hAnsi="宋体"/>
                <w:kern w:val="0"/>
                <w:sz w:val="24"/>
                <w:szCs w:val="21"/>
              </w:rPr>
              <w:t>“</w:t>
            </w:r>
            <w:r>
              <w:rPr>
                <w:rFonts w:hint="eastAsia" w:ascii="宋体" w:hAnsi="宋体"/>
                <w:b/>
                <w:kern w:val="0"/>
                <w:sz w:val="24"/>
                <w:szCs w:val="21"/>
              </w:rPr>
              <w:t>宝克集团</w:t>
            </w:r>
            <w:r>
              <w:rPr>
                <w:rFonts w:ascii="宋体" w:hAnsi="宋体"/>
                <w:kern w:val="0"/>
                <w:sz w:val="24"/>
                <w:szCs w:val="21"/>
              </w:rPr>
              <w:t>”</w:t>
            </w:r>
            <w:r>
              <w:rPr>
                <w:rFonts w:hint="eastAsia" w:ascii="宋体" w:hAnsi="宋体"/>
                <w:kern w:val="0"/>
                <w:sz w:val="24"/>
                <w:szCs w:val="21"/>
              </w:rPr>
              <w:t>）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</w:rPr>
              <w:t>和光大资本投资有限公司（“</w:t>
            </w:r>
            <w:r>
              <w:rPr>
                <w:rFonts w:hint="eastAsia" w:ascii="Times New Roman" w:hAnsi="Times New Roman"/>
                <w:b/>
                <w:kern w:val="0"/>
                <w:sz w:val="24"/>
                <w:szCs w:val="21"/>
              </w:rPr>
              <w:t>光大资本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</w:rPr>
              <w:t>”）签署《合并协议和计划》，AEA收购宝克集团的多数股权。</w:t>
            </w:r>
            <w:r>
              <w:rPr>
                <w:rFonts w:hint="eastAsia" w:ascii="Times New Roman" w:hAnsi="Times New Roman"/>
                <w:sz w:val="24"/>
                <w:szCs w:val="21"/>
              </w:rPr>
              <w:t>交易前，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</w:rPr>
              <w:t>光大资本</w:t>
            </w:r>
            <w:r>
              <w:rPr>
                <w:rFonts w:hint="eastAsia" w:ascii="Times New Roman" w:hAnsi="Times New Roman"/>
                <w:sz w:val="24"/>
                <w:szCs w:val="21"/>
              </w:rPr>
              <w:t>持有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</w:rPr>
              <w:t>宝克集团</w:t>
            </w:r>
            <w:r>
              <w:rPr>
                <w:rFonts w:hint="eastAsia" w:ascii="Times New Roman" w:hAnsi="Times New Roman"/>
                <w:sz w:val="24"/>
                <w:szCs w:val="21"/>
              </w:rPr>
              <w:t>的多数投票权，单独控制宝克集团。交易后，AEA将持有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</w:rPr>
              <w:t>宝克集团</w:t>
            </w:r>
            <w:r>
              <w:rPr>
                <w:rFonts w:hint="eastAsia" w:ascii="Times New Roman" w:hAnsi="Times New Roman"/>
                <w:sz w:val="24"/>
                <w:szCs w:val="21"/>
              </w:rPr>
              <w:t>的多数股权，单独控制宝克集团。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1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参与集中的</w:t>
            </w:r>
          </w:p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经营者简介</w:t>
            </w:r>
            <w:r>
              <w:rPr>
                <w:rFonts w:hint="eastAsia" w:ascii="Times New Roman" w:hAnsi="Times New Roman" w:cs="宋体"/>
                <w:bCs/>
                <w:color w:val="000000"/>
                <w:sz w:val="24"/>
                <w:szCs w:val="24"/>
                <w:lang w:val="en-GB"/>
              </w:rPr>
              <w:t>（每个限</w:t>
            </w:r>
            <w:r>
              <w:rPr>
                <w:rFonts w:hint="eastAsia" w:ascii="Times New Roman" w:hAnsi="Times New Roman" w:cs="宋体"/>
                <w:bCs/>
                <w:color w:val="000000"/>
                <w:sz w:val="24"/>
                <w:szCs w:val="24"/>
              </w:rPr>
              <w:t>100字以内</w:t>
            </w:r>
            <w:r>
              <w:rPr>
                <w:rFonts w:hint="eastAsia" w:ascii="Times New Roman" w:hAnsi="Times New Roman" w:cs="宋体"/>
                <w:bCs/>
                <w:color w:val="000000"/>
                <w:sz w:val="24"/>
                <w:szCs w:val="24"/>
                <w:lang w:val="en-GB"/>
              </w:rPr>
              <w:t>）</w:t>
            </w:r>
          </w:p>
        </w:tc>
        <w:tc>
          <w:tcPr>
            <w:tcW w:w="1588" w:type="dxa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AEA</w:t>
            </w:r>
          </w:p>
        </w:tc>
        <w:tc>
          <w:tcPr>
            <w:tcW w:w="5812" w:type="dxa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hint="eastAsia" w:ascii="Times New Roman" w:hAnsi="Times New Roman"/>
                <w:sz w:val="24"/>
                <w:szCs w:val="21"/>
              </w:rPr>
              <w:t>AEA于2</w:t>
            </w:r>
            <w:r>
              <w:rPr>
                <w:rFonts w:ascii="Times New Roman" w:hAnsi="Times New Roman"/>
                <w:sz w:val="24"/>
                <w:szCs w:val="21"/>
              </w:rPr>
              <w:t>002</w:t>
            </w:r>
            <w:r>
              <w:rPr>
                <w:rFonts w:hint="eastAsia" w:ascii="Times New Roman" w:hAnsi="Times New Roman"/>
                <w:sz w:val="24"/>
                <w:szCs w:val="21"/>
              </w:rPr>
              <w:t>年6月1</w:t>
            </w:r>
            <w:r>
              <w:rPr>
                <w:rFonts w:ascii="Times New Roman" w:hAnsi="Times New Roman"/>
                <w:sz w:val="24"/>
                <w:szCs w:val="21"/>
              </w:rPr>
              <w:t>7</w:t>
            </w:r>
            <w:r>
              <w:rPr>
                <w:rFonts w:hint="eastAsia" w:ascii="Times New Roman" w:hAnsi="Times New Roman"/>
                <w:sz w:val="24"/>
                <w:szCs w:val="21"/>
              </w:rPr>
              <w:t>日成立于美国，是一家私募股权投资集团。AEA的主要业务是</w:t>
            </w:r>
            <w:r>
              <w:rPr>
                <w:rFonts w:hint="eastAsia" w:ascii="Times New Roman" w:hAnsi="Times New Roman"/>
                <w:sz w:val="24"/>
                <w:lang w:val="en"/>
              </w:rPr>
              <w:t>发现投资机会、设计投资交易架构、管理并执行私募股权投资</w:t>
            </w:r>
            <w:r>
              <w:rPr>
                <w:rFonts w:ascii="Times New Roman" w:hAnsi="Times New Roman"/>
                <w:sz w:val="24"/>
                <w:lang w:val="en"/>
              </w:rPr>
              <w:t>。</w:t>
            </w:r>
          </w:p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/>
                <w:sz w:val="24"/>
                <w:szCs w:val="21"/>
              </w:rPr>
              <w:t>AEA的最终控制人为自然人</w:t>
            </w:r>
            <w:r>
              <w:rPr>
                <w:rFonts w:hint="eastAsia" w:ascii="Times New Roman" w:hAnsi="Times New Roman"/>
                <w:sz w:val="24"/>
                <w:szCs w:val="21"/>
                <w:lang w:eastAsia="zh-CN"/>
              </w:rPr>
              <w:t>，</w:t>
            </w:r>
            <w:r>
              <w:rPr>
                <w:rFonts w:hint="eastAsia" w:ascii="Times New Roman" w:hAnsi="Times New Roman"/>
                <w:sz w:val="24"/>
                <w:szCs w:val="21"/>
                <w:lang w:val="en-US" w:eastAsia="zh-CN"/>
              </w:rPr>
              <w:t>主要</w:t>
            </w:r>
            <w:r>
              <w:rPr>
                <w:rFonts w:hint="eastAsia" w:ascii="Times New Roman" w:hAnsi="Times New Roman"/>
                <w:sz w:val="24"/>
                <w:szCs w:val="21"/>
              </w:rPr>
              <w:t>从事私募股权投资。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2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</w:p>
        </w:tc>
        <w:tc>
          <w:tcPr>
            <w:tcW w:w="1588" w:type="dxa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/>
                <w:sz w:val="24"/>
                <w:szCs w:val="21"/>
              </w:rPr>
              <w:t>宝克集团</w:t>
            </w:r>
          </w:p>
        </w:tc>
        <w:tc>
          <w:tcPr>
            <w:tcW w:w="5812" w:type="dxa"/>
          </w:tcPr>
          <w:p>
            <w:pPr>
              <w:rPr>
                <w:rFonts w:hint="eastAsia" w:ascii="Times New Roman" w:hAnsi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1"/>
              </w:rPr>
              <w:t>宝克集团于1953年成立于美国。宝克集团通过其旗下的16个品牌提供测试、仪器和生产解决方案。</w:t>
            </w:r>
          </w:p>
          <w:p>
            <w:pPr>
              <w:rPr>
                <w:rFonts w:hint="eastAsia" w:ascii="Times New Roman" w:hAnsi="Times New Roman" w:eastAsia="宋体"/>
                <w:sz w:val="24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1"/>
              </w:rPr>
              <w:t>宝克集团的最终控制人为中国光大控股有限公司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  <w:lang w:eastAsia="zh-CN"/>
              </w:rPr>
              <w:t>，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</w:rPr>
              <w:t>是一家以另类资产管理为核心业务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  <w:lang w:eastAsia="zh-CN"/>
              </w:rPr>
              <w:t>的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</w:rPr>
              <w:t>公司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简易案件理由（可以单选，也可以多选）</w:t>
            </w:r>
          </w:p>
        </w:tc>
        <w:tc>
          <w:tcPr>
            <w:tcW w:w="7400" w:type="dxa"/>
            <w:gridSpan w:val="2"/>
          </w:tcPr>
          <w:p>
            <w:pPr>
              <w:rPr>
                <w:rFonts w:ascii="Times New Roman" w:hAnsi="Times New Roman"/>
                <w:bCs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bCs/>
                <w:color w:val="333333"/>
                <w:kern w:val="0"/>
                <w:sz w:val="24"/>
                <w:szCs w:val="21"/>
              </w:rPr>
              <w:sym w:font="Wingdings" w:char="F0FE"/>
            </w:r>
            <w:r>
              <w:rPr>
                <w:rFonts w:ascii="Times New Roman" w:hAnsi="Times New Roman"/>
                <w:bCs/>
                <w:color w:val="333333"/>
                <w:kern w:val="0"/>
                <w:sz w:val="24"/>
                <w:szCs w:val="21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</w:p>
        </w:tc>
        <w:tc>
          <w:tcPr>
            <w:tcW w:w="7400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</w:p>
        </w:tc>
        <w:tc>
          <w:tcPr>
            <w:tcW w:w="7400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</w:p>
        </w:tc>
        <w:tc>
          <w:tcPr>
            <w:tcW w:w="7400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</w:p>
        </w:tc>
        <w:tc>
          <w:tcPr>
            <w:tcW w:w="7400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</w:p>
        </w:tc>
        <w:tc>
          <w:tcPr>
            <w:tcW w:w="7400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备注</w:t>
            </w:r>
          </w:p>
        </w:tc>
        <w:tc>
          <w:tcPr>
            <w:tcW w:w="7400" w:type="dxa"/>
            <w:gridSpan w:val="2"/>
          </w:tcPr>
          <w:p>
            <w:pPr>
              <w:rPr>
                <w:rFonts w:ascii="Times New Roman" w:hAnsi="Times New Roman"/>
                <w:b/>
                <w:color w:val="333333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/>
                <w:b/>
                <w:color w:val="333333"/>
                <w:kern w:val="0"/>
                <w:sz w:val="24"/>
                <w:szCs w:val="21"/>
              </w:rPr>
              <w:t>横向</w:t>
            </w: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1"/>
              </w:rPr>
              <w:t>重叠：</w:t>
            </w:r>
          </w:p>
          <w:p>
            <w:pPr>
              <w:pStyle w:val="12"/>
              <w:numPr>
                <w:ilvl w:val="0"/>
                <w:numId w:val="2"/>
              </w:numPr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021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年全球精密零部件制造市场：</w:t>
            </w:r>
          </w:p>
          <w:p>
            <w:pPr>
              <w:pStyle w:val="12"/>
              <w:ind w:left="420" w:firstLine="0" w:firstLineChars="0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AEA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：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0-5%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，</w:t>
            </w:r>
            <w:r>
              <w:rPr>
                <w:rFonts w:hint="eastAsia" w:ascii="Times New Roman" w:hAnsi="Times New Roman"/>
                <w:sz w:val="24"/>
                <w:szCs w:val="21"/>
              </w:rPr>
              <w:t>宝克集团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：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0-5%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，双方合计：0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-5%</w:t>
            </w:r>
          </w:p>
          <w:p>
            <w:pPr>
              <w:pStyle w:val="12"/>
              <w:numPr>
                <w:ilvl w:val="0"/>
                <w:numId w:val="2"/>
              </w:numPr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021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年中国境内精密零部件制造市场：</w:t>
            </w:r>
          </w:p>
          <w:p>
            <w:pPr>
              <w:pStyle w:val="12"/>
              <w:ind w:left="420" w:firstLine="0" w:firstLineChars="0"/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AEA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：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0-5%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，</w:t>
            </w:r>
            <w:r>
              <w:rPr>
                <w:rFonts w:hint="eastAsia" w:ascii="Times New Roman" w:hAnsi="Times New Roman"/>
                <w:sz w:val="24"/>
                <w:szCs w:val="21"/>
              </w:rPr>
              <w:t>宝克集团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：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0-5%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1"/>
              </w:rPr>
              <w:t>，双方合计：0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1"/>
              </w:rPr>
              <w:t>-5%</w:t>
            </w:r>
          </w:p>
        </w:tc>
      </w:tr>
    </w:tbl>
    <w:p>
      <w:pPr>
        <w:rPr>
          <w:rFonts w:ascii="Times New Roman" w:hAnsi="Times New Roman" w:eastAsia="仿宋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1803A2"/>
    <w:multiLevelType w:val="multilevel"/>
    <w:tmpl w:val="661803A2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color w:val="auto"/>
        <w:u w:val="none"/>
      </w:rPr>
    </w:lvl>
    <w:lvl w:ilvl="1" w:tentative="0">
      <w:start w:val="1"/>
      <w:numFmt w:val="decimal"/>
      <w:pStyle w:val="15"/>
      <w:lvlText w:val="%1.%2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2" w:tentative="0">
      <w:start w:val="1"/>
      <w:numFmt w:val="lowerLetter"/>
      <w:pStyle w:val="16"/>
      <w:lvlText w:val="(%3)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3" w:tentative="0">
      <w:start w:val="1"/>
      <w:numFmt w:val="lowerRoman"/>
      <w:pStyle w:val="17"/>
      <w:lvlText w:val="(%4)"/>
      <w:lvlJc w:val="right"/>
      <w:pPr>
        <w:tabs>
          <w:tab w:val="left" w:pos="1440"/>
        </w:tabs>
        <w:ind w:left="144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4" w:tentative="0">
      <w:start w:val="1"/>
      <w:numFmt w:val="upperLetter"/>
      <w:pStyle w:val="18"/>
      <w:lvlText w:val="(%5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5" w:tentative="0">
      <w:start w:val="1"/>
      <w:numFmt w:val="upperRoman"/>
      <w:pStyle w:val="19"/>
      <w:lvlText w:val="(%6)"/>
      <w:lvlJc w:val="right"/>
      <w:pPr>
        <w:tabs>
          <w:tab w:val="left" w:pos="2880"/>
        </w:tabs>
        <w:ind w:left="288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6" w:tentative="0">
      <w:start w:val="27"/>
      <w:numFmt w:val="lowerLetter"/>
      <w:pStyle w:val="20"/>
      <w:lvlText w:val="(%7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7" w:tentative="0">
      <w:start w:val="1"/>
      <w:numFmt w:val="decimal"/>
      <w:pStyle w:val="21"/>
      <w:lvlText w:val="(%8)"/>
      <w:lvlJc w:val="left"/>
      <w:pPr>
        <w:tabs>
          <w:tab w:val="left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8" w:tentative="0">
      <w:start w:val="1"/>
      <w:numFmt w:val="lowerRoman"/>
      <w:lvlText w:val="%9)"/>
      <w:lvlJc w:val="left"/>
      <w:pPr>
        <w:tabs>
          <w:tab w:val="left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</w:abstractNum>
  <w:abstractNum w:abstractNumId="1">
    <w:nsid w:val="71260A1B"/>
    <w:multiLevelType w:val="multilevel"/>
    <w:tmpl w:val="71260A1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0479"/>
    <w:rsid w:val="0001363E"/>
    <w:rsid w:val="00037065"/>
    <w:rsid w:val="000470E5"/>
    <w:rsid w:val="000517AE"/>
    <w:rsid w:val="00053368"/>
    <w:rsid w:val="00062BA3"/>
    <w:rsid w:val="000652FE"/>
    <w:rsid w:val="00065885"/>
    <w:rsid w:val="00083613"/>
    <w:rsid w:val="000A096D"/>
    <w:rsid w:val="000A7097"/>
    <w:rsid w:val="000C6AE2"/>
    <w:rsid w:val="000D6321"/>
    <w:rsid w:val="000D7EBA"/>
    <w:rsid w:val="001164CD"/>
    <w:rsid w:val="0013385D"/>
    <w:rsid w:val="00155717"/>
    <w:rsid w:val="001718C0"/>
    <w:rsid w:val="001837A3"/>
    <w:rsid w:val="001C56B2"/>
    <w:rsid w:val="001E53AF"/>
    <w:rsid w:val="00235CBD"/>
    <w:rsid w:val="002917B8"/>
    <w:rsid w:val="002B3A21"/>
    <w:rsid w:val="002D01E4"/>
    <w:rsid w:val="002E02D4"/>
    <w:rsid w:val="002F3558"/>
    <w:rsid w:val="00300FF0"/>
    <w:rsid w:val="00315756"/>
    <w:rsid w:val="00330118"/>
    <w:rsid w:val="003306F8"/>
    <w:rsid w:val="003401FB"/>
    <w:rsid w:val="003A5C8D"/>
    <w:rsid w:val="003B14F6"/>
    <w:rsid w:val="003C0AEB"/>
    <w:rsid w:val="003E4B9D"/>
    <w:rsid w:val="00412858"/>
    <w:rsid w:val="00470CFE"/>
    <w:rsid w:val="00493857"/>
    <w:rsid w:val="004F1EEE"/>
    <w:rsid w:val="004F7688"/>
    <w:rsid w:val="004F7B86"/>
    <w:rsid w:val="0050638D"/>
    <w:rsid w:val="00522527"/>
    <w:rsid w:val="00525D33"/>
    <w:rsid w:val="00542FA4"/>
    <w:rsid w:val="00556B93"/>
    <w:rsid w:val="005B7098"/>
    <w:rsid w:val="005F52FF"/>
    <w:rsid w:val="00610F2E"/>
    <w:rsid w:val="00632AD7"/>
    <w:rsid w:val="00643B4D"/>
    <w:rsid w:val="006467D8"/>
    <w:rsid w:val="00665C93"/>
    <w:rsid w:val="00666EB6"/>
    <w:rsid w:val="00673309"/>
    <w:rsid w:val="006A05E6"/>
    <w:rsid w:val="006A531B"/>
    <w:rsid w:val="006C50A8"/>
    <w:rsid w:val="006F2C64"/>
    <w:rsid w:val="006F3A2A"/>
    <w:rsid w:val="006F3FB2"/>
    <w:rsid w:val="006F7693"/>
    <w:rsid w:val="00710140"/>
    <w:rsid w:val="007118AA"/>
    <w:rsid w:val="00714F89"/>
    <w:rsid w:val="00726B9D"/>
    <w:rsid w:val="00741712"/>
    <w:rsid w:val="00745CAD"/>
    <w:rsid w:val="00753E0E"/>
    <w:rsid w:val="007E0D65"/>
    <w:rsid w:val="007F2275"/>
    <w:rsid w:val="007F50D7"/>
    <w:rsid w:val="00804778"/>
    <w:rsid w:val="008102A7"/>
    <w:rsid w:val="00811B07"/>
    <w:rsid w:val="00813A44"/>
    <w:rsid w:val="0081637E"/>
    <w:rsid w:val="008341BD"/>
    <w:rsid w:val="008377FB"/>
    <w:rsid w:val="008579ED"/>
    <w:rsid w:val="00857B92"/>
    <w:rsid w:val="008765B3"/>
    <w:rsid w:val="008A3F7C"/>
    <w:rsid w:val="008A6851"/>
    <w:rsid w:val="008B3329"/>
    <w:rsid w:val="008C7B21"/>
    <w:rsid w:val="008F41B9"/>
    <w:rsid w:val="009012F9"/>
    <w:rsid w:val="00915F0F"/>
    <w:rsid w:val="00930298"/>
    <w:rsid w:val="009532DF"/>
    <w:rsid w:val="00962CEF"/>
    <w:rsid w:val="00971046"/>
    <w:rsid w:val="00997019"/>
    <w:rsid w:val="009A5029"/>
    <w:rsid w:val="009D38D5"/>
    <w:rsid w:val="009D3C6C"/>
    <w:rsid w:val="009E46A6"/>
    <w:rsid w:val="00A53F26"/>
    <w:rsid w:val="00A629C9"/>
    <w:rsid w:val="00AA0CC5"/>
    <w:rsid w:val="00AB1837"/>
    <w:rsid w:val="00AB1989"/>
    <w:rsid w:val="00AF000A"/>
    <w:rsid w:val="00B00A13"/>
    <w:rsid w:val="00B04F67"/>
    <w:rsid w:val="00B14FA5"/>
    <w:rsid w:val="00B160D5"/>
    <w:rsid w:val="00B16AFE"/>
    <w:rsid w:val="00B27757"/>
    <w:rsid w:val="00B32A10"/>
    <w:rsid w:val="00B36514"/>
    <w:rsid w:val="00B40BC3"/>
    <w:rsid w:val="00B52D10"/>
    <w:rsid w:val="00B63430"/>
    <w:rsid w:val="00B65DD5"/>
    <w:rsid w:val="00BA595D"/>
    <w:rsid w:val="00BD10B6"/>
    <w:rsid w:val="00BF56EB"/>
    <w:rsid w:val="00C02F4F"/>
    <w:rsid w:val="00C07076"/>
    <w:rsid w:val="00C60180"/>
    <w:rsid w:val="00C70388"/>
    <w:rsid w:val="00CA1090"/>
    <w:rsid w:val="00CA1E2E"/>
    <w:rsid w:val="00CB00DF"/>
    <w:rsid w:val="00CE0857"/>
    <w:rsid w:val="00CE149E"/>
    <w:rsid w:val="00D73546"/>
    <w:rsid w:val="00D73C72"/>
    <w:rsid w:val="00DA040C"/>
    <w:rsid w:val="00E0592B"/>
    <w:rsid w:val="00E06998"/>
    <w:rsid w:val="00E1479B"/>
    <w:rsid w:val="00E31317"/>
    <w:rsid w:val="00E31738"/>
    <w:rsid w:val="00E501D7"/>
    <w:rsid w:val="00E86786"/>
    <w:rsid w:val="00EA5BC7"/>
    <w:rsid w:val="00EA727A"/>
    <w:rsid w:val="00ED2F80"/>
    <w:rsid w:val="00EE0F53"/>
    <w:rsid w:val="00F14056"/>
    <w:rsid w:val="00F1624E"/>
    <w:rsid w:val="00F167D7"/>
    <w:rsid w:val="00F16E22"/>
    <w:rsid w:val="00F32F8A"/>
    <w:rsid w:val="00F33222"/>
    <w:rsid w:val="00F33ECD"/>
    <w:rsid w:val="00F711DB"/>
    <w:rsid w:val="00F810AA"/>
    <w:rsid w:val="00F81A58"/>
    <w:rsid w:val="00F838A0"/>
    <w:rsid w:val="00F9018A"/>
    <w:rsid w:val="00FB43EC"/>
    <w:rsid w:val="00FB6B40"/>
    <w:rsid w:val="1FEF9655"/>
    <w:rsid w:val="3FE7D984"/>
    <w:rsid w:val="49FFE70A"/>
    <w:rsid w:val="596E716B"/>
    <w:rsid w:val="5BDF269F"/>
    <w:rsid w:val="5D7B18A5"/>
    <w:rsid w:val="77DF055C"/>
    <w:rsid w:val="7F341FB3"/>
    <w:rsid w:val="BF8D62BE"/>
    <w:rsid w:val="C5FD600A"/>
    <w:rsid w:val="C745B7D1"/>
    <w:rsid w:val="D17F367F"/>
    <w:rsid w:val="D7DB2EFE"/>
    <w:rsid w:val="DF3FE49F"/>
    <w:rsid w:val="EFBD9D24"/>
    <w:rsid w:val="EFE7D10B"/>
    <w:rsid w:val="EFFB9507"/>
    <w:rsid w:val="F9ED40DD"/>
    <w:rsid w:val="FE677932"/>
    <w:rsid w:val="FFFEC065"/>
    <w:rsid w:val="FFFFACE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Char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Char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Char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4">
    <w:name w:val="FWB_L1"/>
    <w:basedOn w:val="1"/>
    <w:next w:val="15"/>
    <w:qFormat/>
    <w:uiPriority w:val="0"/>
    <w:pPr>
      <w:keepNext/>
      <w:keepLines/>
      <w:widowControl/>
      <w:numPr>
        <w:ilvl w:val="0"/>
        <w:numId w:val="1"/>
      </w:numPr>
      <w:spacing w:after="240"/>
      <w:jc w:val="left"/>
      <w:outlineLvl w:val="0"/>
    </w:pPr>
    <w:rPr>
      <w:rFonts w:ascii="Times New Roman" w:hAnsi="Times New Roman" w:eastAsia="Times New Roman"/>
      <w:b/>
      <w:smallCaps/>
      <w:kern w:val="0"/>
      <w:sz w:val="24"/>
      <w:szCs w:val="20"/>
      <w:lang w:eastAsia="en-US"/>
    </w:rPr>
  </w:style>
  <w:style w:type="paragraph" w:customStyle="1" w:styleId="15">
    <w:name w:val="FWB_L2"/>
    <w:basedOn w:val="14"/>
    <w:qFormat/>
    <w:uiPriority w:val="0"/>
    <w:pPr>
      <w:keepNext w:val="0"/>
      <w:keepLines w:val="0"/>
      <w:numPr>
        <w:ilvl w:val="1"/>
      </w:numPr>
      <w:jc w:val="both"/>
      <w:outlineLvl w:val="9"/>
    </w:pPr>
    <w:rPr>
      <w:b w:val="0"/>
      <w:smallCaps w:val="0"/>
    </w:rPr>
  </w:style>
  <w:style w:type="paragraph" w:customStyle="1" w:styleId="16">
    <w:name w:val="FWB_L3"/>
    <w:basedOn w:val="15"/>
    <w:qFormat/>
    <w:uiPriority w:val="0"/>
    <w:pPr>
      <w:numPr>
        <w:ilvl w:val="2"/>
      </w:numPr>
    </w:pPr>
  </w:style>
  <w:style w:type="paragraph" w:customStyle="1" w:styleId="17">
    <w:name w:val="FWB_L4"/>
    <w:basedOn w:val="16"/>
    <w:qFormat/>
    <w:uiPriority w:val="0"/>
    <w:pPr>
      <w:numPr>
        <w:ilvl w:val="3"/>
      </w:numPr>
    </w:pPr>
  </w:style>
  <w:style w:type="paragraph" w:customStyle="1" w:styleId="18">
    <w:name w:val="FWB_L5"/>
    <w:basedOn w:val="17"/>
    <w:qFormat/>
    <w:uiPriority w:val="0"/>
    <w:pPr>
      <w:numPr>
        <w:ilvl w:val="4"/>
      </w:numPr>
      <w:tabs>
        <w:tab w:val="left" w:pos="1440"/>
      </w:tabs>
      <w:ind w:left="1440" w:hanging="216"/>
    </w:pPr>
  </w:style>
  <w:style w:type="paragraph" w:customStyle="1" w:styleId="19">
    <w:name w:val="FWB_L6"/>
    <w:basedOn w:val="18"/>
    <w:qFormat/>
    <w:uiPriority w:val="0"/>
    <w:pPr>
      <w:numPr>
        <w:ilvl w:val="5"/>
      </w:numPr>
    </w:pPr>
  </w:style>
  <w:style w:type="paragraph" w:customStyle="1" w:styleId="20">
    <w:name w:val="FWB_L7"/>
    <w:basedOn w:val="19"/>
    <w:qFormat/>
    <w:uiPriority w:val="0"/>
    <w:pPr>
      <w:numPr>
        <w:ilvl w:val="6"/>
      </w:numPr>
    </w:pPr>
  </w:style>
  <w:style w:type="paragraph" w:customStyle="1" w:styleId="21">
    <w:name w:val="FWB_L8"/>
    <w:basedOn w:val="20"/>
    <w:qFormat/>
    <w:uiPriority w:val="0"/>
    <w:pPr>
      <w:numPr>
        <w:ilvl w:val="7"/>
      </w:numPr>
    </w:pPr>
  </w:style>
  <w:style w:type="character" w:customStyle="1" w:styleId="22">
    <w:name w:val="批注文字 Char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23">
    <w:name w:val="批注主题 Char"/>
    <w:basedOn w:val="22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141</Words>
  <Characters>807</Characters>
  <Lines>6</Lines>
  <Paragraphs>1</Paragraphs>
  <TotalTime>1</TotalTime>
  <ScaleCrop>false</ScaleCrop>
  <LinksUpToDate>false</LinksUpToDate>
  <CharactersWithSpaces>947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2022-06-08T13:35:00Z</dcterms:created>
  <dc:creator>Fangda</dc:creator>
  <cp:lastModifiedBy>oa</cp:lastModifiedBy>
  <dcterms:modified xsi:type="dcterms:W3CDTF">2022-07-11T17:16:40Z</dcterms:modified>
  <dc:title>经营者集中简易案件公示表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0x0101000DADD28517BE074D95A12975B5FBBC1A</vt:lpwstr>
  </property>
  <property fmtid="{D5CDD505-2E9C-101B-9397-08002B2CF9AE}" pid="3" name="KSOProductBuildVer">
    <vt:lpwstr>2052-11.8.2.9695</vt:lpwstr>
  </property>
</Properties>
</file>