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406" w:rsidRPr="00D11C71" w:rsidRDefault="00A40406" w:rsidP="00337D5A">
      <w:pPr>
        <w:spacing w:after="100" w:afterAutospacing="1"/>
        <w:jc w:val="center"/>
        <w:rPr>
          <w:rFonts w:ascii="黑体" w:eastAsia="黑体" w:hAnsi="黑体"/>
          <w:sz w:val="36"/>
          <w:szCs w:val="36"/>
        </w:rPr>
      </w:pPr>
      <w:bookmarkStart w:id="0" w:name="_GoBack"/>
      <w:r w:rsidRPr="00D11C71">
        <w:rPr>
          <w:rFonts w:ascii="黑体" w:eastAsia="黑体" w:hAnsi="黑体" w:hint="eastAsia"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447"/>
        <w:gridCol w:w="5502"/>
      </w:tblGrid>
      <w:tr w:rsidR="00A40406" w:rsidRPr="00D11C71" w:rsidTr="00116CAA">
        <w:tc>
          <w:tcPr>
            <w:tcW w:w="1809" w:type="dxa"/>
            <w:shd w:val="clear" w:color="auto" w:fill="D9D9D9"/>
            <w:vAlign w:val="center"/>
          </w:tcPr>
          <w:p w:rsidR="00A40406" w:rsidRPr="00D11C71" w:rsidRDefault="00A40406" w:rsidP="00116CAA">
            <w:pPr>
              <w:adjustRightInd w:val="0"/>
              <w:snapToGrid w:val="0"/>
              <w:rPr>
                <w:rFonts w:ascii="宋体" w:eastAsia="宋体" w:hAnsi="宋体"/>
                <w:b/>
              </w:rPr>
            </w:pPr>
            <w:r w:rsidRPr="00D11C71">
              <w:rPr>
                <w:rFonts w:ascii="宋体" w:eastAsia="宋体" w:hAnsi="宋体" w:hint="eastAsia"/>
                <w:b/>
              </w:rPr>
              <w:t>案件名称</w:t>
            </w:r>
          </w:p>
        </w:tc>
        <w:tc>
          <w:tcPr>
            <w:tcW w:w="6949" w:type="dxa"/>
            <w:gridSpan w:val="2"/>
            <w:shd w:val="clear" w:color="auto" w:fill="auto"/>
            <w:vAlign w:val="center"/>
          </w:tcPr>
          <w:p w:rsidR="00A40406" w:rsidRPr="00D11C71" w:rsidRDefault="001C4C79" w:rsidP="00924E14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 w:rsidRPr="001C4C79">
              <w:rPr>
                <w:rFonts w:ascii="宋体" w:eastAsia="宋体" w:hAnsi="宋体"/>
              </w:rPr>
              <w:t>The Rise Fund III SF Pte. Ltd.与</w:t>
            </w:r>
            <w:r w:rsidRPr="001C4C79">
              <w:rPr>
                <w:rFonts w:ascii="宋体" w:eastAsia="宋体" w:hAnsi="宋体" w:hint="eastAsia"/>
              </w:rPr>
              <w:t>丰隆公司（马来西亚）有限公司收购</w:t>
            </w:r>
            <w:r w:rsidRPr="001C4C79">
              <w:rPr>
                <w:rFonts w:ascii="宋体" w:eastAsia="宋体" w:hAnsi="宋体"/>
              </w:rPr>
              <w:t>IMU Health Sdn. Bhd.</w:t>
            </w:r>
            <w:r w:rsidRPr="001C4C79">
              <w:rPr>
                <w:rFonts w:ascii="宋体" w:eastAsia="宋体" w:hAnsi="宋体" w:hint="eastAsia"/>
              </w:rPr>
              <w:t>股权案（“本次交易”）</w:t>
            </w:r>
          </w:p>
        </w:tc>
      </w:tr>
      <w:tr w:rsidR="00A40406" w:rsidRPr="00D11C71" w:rsidTr="00116CAA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A40406" w:rsidRPr="00D11C71" w:rsidRDefault="00A40406" w:rsidP="00116CAA">
            <w:pPr>
              <w:adjustRightInd w:val="0"/>
              <w:snapToGrid w:val="0"/>
              <w:rPr>
                <w:rFonts w:ascii="宋体" w:eastAsia="宋体" w:hAnsi="宋体"/>
                <w:b/>
              </w:rPr>
            </w:pPr>
            <w:r w:rsidRPr="00D11C71">
              <w:rPr>
                <w:rFonts w:ascii="宋体" w:eastAsia="宋体" w:hAnsi="宋体" w:hint="eastAsia"/>
                <w:b/>
              </w:rPr>
              <w:t>交易概况（限200字内）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A40406" w:rsidRPr="00D11C71" w:rsidRDefault="005469B9" w:rsidP="005469B9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 w:rsidRPr="005469B9">
              <w:rPr>
                <w:rFonts w:ascii="宋体" w:eastAsia="宋体" w:hAnsi="宋体" w:hint="eastAsia"/>
              </w:rPr>
              <w:t>2022年6月7日</w:t>
            </w:r>
            <w:r w:rsidR="001C4C79" w:rsidRPr="001C4C79">
              <w:rPr>
                <w:rFonts w:ascii="宋体" w:eastAsia="宋体" w:hAnsi="宋体"/>
              </w:rPr>
              <w:t>The Rise Fund III SF Pte. Ltd.</w:t>
            </w:r>
            <w:r w:rsidR="001C4C79">
              <w:rPr>
                <w:rFonts w:ascii="宋体" w:eastAsia="宋体" w:hAnsi="宋体" w:hint="eastAsia"/>
              </w:rPr>
              <w:t>（“德太”）、</w:t>
            </w:r>
            <w:r w:rsidR="001C4C79" w:rsidRPr="001C4C79">
              <w:rPr>
                <w:rFonts w:ascii="宋体" w:eastAsia="宋体" w:hAnsi="宋体" w:hint="eastAsia"/>
              </w:rPr>
              <w:t>丰隆公司（马来西亚）有限公司</w:t>
            </w:r>
            <w:r w:rsidR="001C4C79">
              <w:rPr>
                <w:rFonts w:ascii="宋体" w:eastAsia="宋体" w:hAnsi="宋体" w:hint="eastAsia"/>
              </w:rPr>
              <w:t>（“丰隆公司”）和</w:t>
            </w:r>
            <w:r w:rsidR="001C4C79" w:rsidRPr="001C4C79">
              <w:rPr>
                <w:rFonts w:ascii="宋体" w:eastAsia="宋体" w:hAnsi="宋体"/>
              </w:rPr>
              <w:t>IHH Healthcare Berhad</w:t>
            </w:r>
            <w:r w:rsidR="001C4C79">
              <w:rPr>
                <w:rFonts w:ascii="宋体" w:eastAsia="宋体" w:hAnsi="宋体" w:hint="eastAsia"/>
              </w:rPr>
              <w:t>（</w:t>
            </w:r>
            <w:r w:rsidR="001C4C79" w:rsidRPr="001C4C79">
              <w:rPr>
                <w:rFonts w:ascii="宋体" w:eastAsia="宋体" w:hAnsi="宋体"/>
              </w:rPr>
              <w:t>“IHH”</w:t>
            </w:r>
            <w:r w:rsidR="001C4C79">
              <w:rPr>
                <w:rFonts w:ascii="宋体" w:eastAsia="宋体" w:hAnsi="宋体" w:hint="eastAsia"/>
              </w:rPr>
              <w:t>）</w:t>
            </w:r>
            <w:r w:rsidR="001C4C79">
              <w:rPr>
                <w:rFonts w:ascii="宋体" w:eastAsia="宋体" w:hAnsi="宋体"/>
              </w:rPr>
              <w:t>签订</w:t>
            </w:r>
            <w:r w:rsidR="001C4C79">
              <w:rPr>
                <w:rFonts w:ascii="宋体" w:eastAsia="宋体" w:hAnsi="宋体" w:hint="eastAsia"/>
              </w:rPr>
              <w:t>股份</w:t>
            </w:r>
            <w:r w:rsidR="001C4C79">
              <w:rPr>
                <w:rFonts w:ascii="宋体" w:eastAsia="宋体" w:hAnsi="宋体"/>
              </w:rPr>
              <w:t>出售协议</w:t>
            </w:r>
            <w:r w:rsidR="001C4C79">
              <w:rPr>
                <w:rFonts w:ascii="宋体" w:eastAsia="宋体" w:hAnsi="宋体" w:hint="eastAsia"/>
              </w:rPr>
              <w:t>。根据股份出售协议，德太和丰隆公司将分别间接收购</w:t>
            </w:r>
            <w:r w:rsidR="001C4C79" w:rsidRPr="001C4C79">
              <w:rPr>
                <w:rFonts w:ascii="宋体" w:eastAsia="宋体" w:hAnsi="宋体"/>
              </w:rPr>
              <w:t>IMU Health Sdn. Bhd.</w:t>
            </w:r>
            <w:r w:rsidR="001C4C79">
              <w:rPr>
                <w:rFonts w:ascii="宋体" w:eastAsia="宋体" w:hAnsi="宋体" w:hint="eastAsia"/>
              </w:rPr>
              <w:t>（</w:t>
            </w:r>
            <w:r w:rsidR="001C4C79" w:rsidRPr="001C4C79">
              <w:rPr>
                <w:rFonts w:ascii="宋体" w:eastAsia="宋体" w:hAnsi="宋体"/>
              </w:rPr>
              <w:t>“IMUH”</w:t>
            </w:r>
            <w:r w:rsidR="001C4C79">
              <w:rPr>
                <w:rFonts w:ascii="宋体" w:eastAsia="宋体" w:hAnsi="宋体" w:hint="eastAsia"/>
              </w:rPr>
              <w:t>）约4</w:t>
            </w:r>
            <w:r w:rsidR="001C4C79">
              <w:rPr>
                <w:rFonts w:ascii="宋体" w:eastAsia="宋体" w:hAnsi="宋体"/>
              </w:rPr>
              <w:t>5</w:t>
            </w:r>
            <w:r w:rsidR="001C4C79">
              <w:rPr>
                <w:rFonts w:ascii="宋体" w:eastAsia="宋体" w:hAnsi="宋体" w:hint="eastAsia"/>
              </w:rPr>
              <w:t>%</w:t>
            </w:r>
            <w:r w:rsidR="001C4C79">
              <w:rPr>
                <w:rFonts w:ascii="宋体" w:eastAsia="宋体" w:hAnsi="宋体"/>
              </w:rPr>
              <w:t>的股份</w:t>
            </w:r>
            <w:r w:rsidR="001C4C79">
              <w:rPr>
                <w:rFonts w:ascii="宋体" w:eastAsia="宋体" w:hAnsi="宋体" w:hint="eastAsia"/>
              </w:rPr>
              <w:t>。</w:t>
            </w:r>
            <w:r w:rsidR="001C4C79">
              <w:rPr>
                <w:rFonts w:ascii="宋体" w:eastAsia="宋体" w:hAnsi="宋体"/>
              </w:rPr>
              <w:t>IMUH在马来西亚从事高等教育服务</w:t>
            </w:r>
            <w:r w:rsidR="001C4C79">
              <w:rPr>
                <w:rFonts w:ascii="宋体" w:eastAsia="宋体" w:hAnsi="宋体" w:hint="eastAsia"/>
              </w:rPr>
              <w:t>、医院服务以及透析服务。本次交易前，</w:t>
            </w:r>
            <w:r w:rsidR="001C4C79" w:rsidRPr="001C4C79">
              <w:rPr>
                <w:rFonts w:ascii="宋体" w:eastAsia="宋体" w:hAnsi="宋体" w:hint="eastAsia"/>
              </w:rPr>
              <w:t>IMU</w:t>
            </w:r>
            <w:r w:rsidR="001C4C79" w:rsidRPr="001C4C79">
              <w:rPr>
                <w:rFonts w:ascii="宋体" w:eastAsia="宋体" w:hAnsi="宋体"/>
              </w:rPr>
              <w:t>H</w:t>
            </w:r>
            <w:r w:rsidR="001C4C79" w:rsidRPr="001C4C79">
              <w:rPr>
                <w:rFonts w:ascii="宋体" w:eastAsia="宋体" w:hAnsi="宋体" w:hint="eastAsia"/>
              </w:rPr>
              <w:t>由I</w:t>
            </w:r>
            <w:r w:rsidR="001C4C79" w:rsidRPr="001C4C79">
              <w:rPr>
                <w:rFonts w:ascii="宋体" w:eastAsia="宋体" w:hAnsi="宋体"/>
              </w:rPr>
              <w:t>HH</w:t>
            </w:r>
            <w:r w:rsidR="001C4C79" w:rsidRPr="001C4C79">
              <w:rPr>
                <w:rFonts w:ascii="宋体" w:eastAsia="宋体" w:hAnsi="宋体" w:hint="eastAsia"/>
              </w:rPr>
              <w:t>全资</w:t>
            </w:r>
            <w:r w:rsidR="005240E5">
              <w:rPr>
                <w:rFonts w:ascii="宋体" w:eastAsia="宋体" w:hAnsi="宋体" w:hint="eastAsia"/>
              </w:rPr>
              <w:t>持有</w:t>
            </w:r>
            <w:r w:rsidR="003E12DF">
              <w:rPr>
                <w:rFonts w:ascii="宋体" w:eastAsia="宋体" w:hAnsi="宋体" w:hint="eastAsia"/>
              </w:rPr>
              <w:t>与控制</w:t>
            </w:r>
            <w:r w:rsidR="001C4C79">
              <w:rPr>
                <w:rFonts w:ascii="宋体" w:eastAsia="宋体" w:hAnsi="宋体" w:hint="eastAsia"/>
              </w:rPr>
              <w:t>。本次交易后，德太和丰隆公司将共同控制IMUH。</w:t>
            </w:r>
          </w:p>
        </w:tc>
      </w:tr>
      <w:tr w:rsidR="001C4C79" w:rsidRPr="00D11C71" w:rsidTr="00116CAA">
        <w:trPr>
          <w:trHeight w:val="92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1C4C79" w:rsidRPr="00D11C71" w:rsidRDefault="001C4C79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  <w:r w:rsidRPr="00D11C71">
              <w:rPr>
                <w:rFonts w:ascii="宋体" w:eastAsia="宋体" w:hAnsi="宋体" w:hint="eastAsia"/>
                <w:b/>
              </w:rPr>
              <w:t>参与集中的经营者简介</w:t>
            </w:r>
            <w:r w:rsidRPr="00D11C71">
              <w:rPr>
                <w:rStyle w:val="a7"/>
                <w:rFonts w:ascii="宋体" w:eastAsia="宋体" w:hAnsi="宋体"/>
                <w:b/>
              </w:rPr>
              <w:t xml:space="preserve"> </w:t>
            </w:r>
          </w:p>
        </w:tc>
        <w:tc>
          <w:tcPr>
            <w:tcW w:w="1447" w:type="dxa"/>
            <w:shd w:val="clear" w:color="auto" w:fill="auto"/>
          </w:tcPr>
          <w:p w:rsidR="001C4C79" w:rsidRPr="00D11C71" w:rsidRDefault="001C4C79" w:rsidP="00116CAA">
            <w:pPr>
              <w:adjustRightInd w:val="0"/>
              <w:snapToGrid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德太</w:t>
            </w:r>
          </w:p>
        </w:tc>
        <w:tc>
          <w:tcPr>
            <w:tcW w:w="5502" w:type="dxa"/>
            <w:shd w:val="clear" w:color="auto" w:fill="auto"/>
          </w:tcPr>
          <w:p w:rsidR="001C4C79" w:rsidRDefault="001C4C79" w:rsidP="001C4C79">
            <w:pPr>
              <w:widowControl/>
              <w:snapToGrid w:val="0"/>
              <w:rPr>
                <w:rFonts w:ascii="宋体" w:eastAsia="宋体" w:hAnsi="宋体"/>
              </w:rPr>
            </w:pPr>
            <w:r w:rsidRPr="001C4C79">
              <w:rPr>
                <w:rFonts w:ascii="宋体" w:eastAsia="宋体" w:hAnsi="宋体"/>
              </w:rPr>
              <w:t>德太于</w:t>
            </w:r>
            <w:r w:rsidRPr="001C4C79">
              <w:rPr>
                <w:rFonts w:ascii="宋体" w:eastAsia="宋体" w:hAnsi="宋体" w:hint="eastAsia"/>
              </w:rPr>
              <w:t>2</w:t>
            </w:r>
            <w:r w:rsidRPr="001C4C79">
              <w:rPr>
                <w:rFonts w:ascii="宋体" w:eastAsia="宋体" w:hAnsi="宋体"/>
              </w:rPr>
              <w:t>0</w:t>
            </w:r>
            <w:r>
              <w:rPr>
                <w:rFonts w:ascii="宋体" w:eastAsia="宋体" w:hAnsi="宋体"/>
              </w:rPr>
              <w:t>22</w:t>
            </w:r>
            <w:r w:rsidRPr="001C4C79">
              <w:rPr>
                <w:rFonts w:ascii="宋体" w:eastAsia="宋体" w:hAnsi="宋体"/>
              </w:rPr>
              <w:t>年</w:t>
            </w:r>
            <w:r>
              <w:rPr>
                <w:rFonts w:ascii="宋体" w:eastAsia="宋体" w:hAnsi="宋体"/>
              </w:rPr>
              <w:t>4</w:t>
            </w:r>
            <w:r w:rsidRPr="001C4C79">
              <w:rPr>
                <w:rFonts w:ascii="宋体" w:eastAsia="宋体" w:hAnsi="宋体" w:hint="eastAsia"/>
              </w:rPr>
              <w:t>月1</w:t>
            </w:r>
            <w:r>
              <w:rPr>
                <w:rFonts w:ascii="宋体" w:eastAsia="宋体" w:hAnsi="宋体"/>
              </w:rPr>
              <w:t>3</w:t>
            </w:r>
            <w:r w:rsidRPr="001C4C79">
              <w:rPr>
                <w:rFonts w:ascii="宋体" w:eastAsia="宋体" w:hAnsi="宋体"/>
              </w:rPr>
              <w:t>日在</w:t>
            </w:r>
            <w:r>
              <w:rPr>
                <w:rFonts w:ascii="宋体" w:eastAsia="宋体" w:hAnsi="宋体" w:hint="eastAsia"/>
              </w:rPr>
              <w:t>新加坡</w:t>
            </w:r>
            <w:r>
              <w:rPr>
                <w:rFonts w:ascii="宋体" w:eastAsia="宋体" w:hAnsi="宋体"/>
              </w:rPr>
              <w:t>成立</w:t>
            </w:r>
            <w:r>
              <w:rPr>
                <w:rFonts w:ascii="宋体" w:eastAsia="宋体" w:hAnsi="宋体" w:hint="eastAsia"/>
              </w:rPr>
              <w:t>。德太</w:t>
            </w:r>
            <w:r w:rsidR="00876890">
              <w:rPr>
                <w:rFonts w:ascii="宋体" w:eastAsia="宋体" w:hAnsi="宋体" w:hint="eastAsia"/>
              </w:rPr>
              <w:t>隶属</w:t>
            </w:r>
            <w:r>
              <w:rPr>
                <w:rFonts w:ascii="宋体" w:eastAsia="宋体" w:hAnsi="宋体" w:hint="eastAsia"/>
              </w:rPr>
              <w:t>德太资本</w:t>
            </w:r>
            <w:r w:rsidRPr="001C4C79">
              <w:rPr>
                <w:rFonts w:ascii="宋体" w:eastAsia="宋体" w:hAnsi="宋体"/>
              </w:rPr>
              <w:t>（以下与其关联实体合称“德太集团”）。德太集团是一</w:t>
            </w:r>
            <w:r w:rsidR="005469B9">
              <w:rPr>
                <w:rFonts w:ascii="宋体" w:eastAsia="宋体" w:hAnsi="宋体" w:hint="eastAsia"/>
              </w:rPr>
              <w:t>家</w:t>
            </w:r>
            <w:r w:rsidRPr="001C4C79">
              <w:rPr>
                <w:rFonts w:ascii="宋体" w:eastAsia="宋体" w:hAnsi="宋体"/>
              </w:rPr>
              <w:t>私人投资公司，管理着一</w:t>
            </w:r>
            <w:r w:rsidRPr="001C4C79">
              <w:rPr>
                <w:rFonts w:ascii="宋体" w:eastAsia="宋体" w:hAnsi="宋体" w:hint="eastAsia"/>
              </w:rPr>
              <w:t>系列</w:t>
            </w:r>
            <w:r w:rsidRPr="001C4C79">
              <w:rPr>
                <w:rFonts w:ascii="宋体" w:eastAsia="宋体" w:hAnsi="宋体"/>
              </w:rPr>
              <w:t>通过并购和重组投资于各种企业的基金。</w:t>
            </w:r>
          </w:p>
          <w:p w:rsidR="001C4C79" w:rsidRPr="001C4C79" w:rsidRDefault="001C4C79" w:rsidP="001C4C79">
            <w:pPr>
              <w:widowControl/>
              <w:snapToGrid w:val="0"/>
              <w:rPr>
                <w:rFonts w:ascii="宋体" w:eastAsia="宋体" w:hAnsi="宋体"/>
              </w:rPr>
            </w:pPr>
          </w:p>
          <w:p w:rsidR="001C4C79" w:rsidRPr="001C4C79" w:rsidRDefault="001C4C79" w:rsidP="005469B9">
            <w:pPr>
              <w:widowControl/>
              <w:snapToGrid w:val="0"/>
              <w:jc w:val="left"/>
              <w:rPr>
                <w:rFonts w:ascii="宋体" w:eastAsia="宋体" w:hAnsi="宋体"/>
              </w:rPr>
            </w:pPr>
            <w:r w:rsidRPr="001C4C79">
              <w:rPr>
                <w:rFonts w:ascii="宋体" w:eastAsia="宋体" w:hAnsi="宋体"/>
              </w:rPr>
              <w:t>德太集团最终控制人为自然人</w:t>
            </w:r>
            <w:r w:rsidRPr="001C4C79">
              <w:rPr>
                <w:rFonts w:ascii="宋体" w:eastAsia="宋体" w:hAnsi="宋体" w:hint="eastAsia"/>
              </w:rPr>
              <w:t>，其主要业务与</w:t>
            </w:r>
            <w:r w:rsidRPr="001C4C79">
              <w:rPr>
                <w:rFonts w:ascii="宋体" w:eastAsia="宋体" w:hAnsi="宋体"/>
              </w:rPr>
              <w:t>德太集团的主要业务相同</w:t>
            </w:r>
            <w:r w:rsidRPr="001C4C79">
              <w:rPr>
                <w:rFonts w:ascii="宋体" w:eastAsia="宋体" w:hAnsi="宋体" w:hint="eastAsia"/>
              </w:rPr>
              <w:t>。</w:t>
            </w:r>
          </w:p>
        </w:tc>
      </w:tr>
      <w:tr w:rsidR="001C4C79" w:rsidRPr="00D11C71" w:rsidTr="00116CAA">
        <w:trPr>
          <w:trHeight w:val="557"/>
        </w:trPr>
        <w:tc>
          <w:tcPr>
            <w:tcW w:w="1809" w:type="dxa"/>
            <w:vMerge/>
            <w:shd w:val="clear" w:color="auto" w:fill="D9D9D9"/>
          </w:tcPr>
          <w:p w:rsidR="001C4C79" w:rsidRPr="00D11C71" w:rsidRDefault="001C4C79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</w:p>
        </w:tc>
        <w:tc>
          <w:tcPr>
            <w:tcW w:w="1447" w:type="dxa"/>
            <w:shd w:val="clear" w:color="auto" w:fill="auto"/>
          </w:tcPr>
          <w:p w:rsidR="001C4C79" w:rsidRPr="00D11C71" w:rsidRDefault="0048149D" w:rsidP="00116CAA">
            <w:pPr>
              <w:adjustRightInd w:val="0"/>
              <w:snapToGrid w:val="0"/>
              <w:rPr>
                <w:rFonts w:ascii="宋体" w:eastAsia="宋体" w:hAnsi="宋体"/>
                <w:lang w:val="en-GB"/>
              </w:rPr>
            </w:pPr>
            <w:r>
              <w:rPr>
                <w:rFonts w:ascii="宋体" w:eastAsia="宋体" w:hAnsi="宋体" w:hint="eastAsia"/>
              </w:rPr>
              <w:t>丰隆公司</w:t>
            </w:r>
          </w:p>
        </w:tc>
        <w:tc>
          <w:tcPr>
            <w:tcW w:w="5502" w:type="dxa"/>
            <w:shd w:val="clear" w:color="auto" w:fill="auto"/>
          </w:tcPr>
          <w:p w:rsidR="001C4C79" w:rsidRDefault="001C4C79" w:rsidP="0048149D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 w:rsidRPr="0048149D">
              <w:rPr>
                <w:rFonts w:ascii="宋体" w:eastAsia="宋体" w:hAnsi="宋体" w:hint="eastAsia"/>
              </w:rPr>
              <w:t>丰隆公司于1968年5月6日年在马来西亚成立。丰隆集团是</w:t>
            </w:r>
            <w:r w:rsidR="0048149D" w:rsidRPr="0048149D">
              <w:rPr>
                <w:rFonts w:ascii="宋体" w:eastAsia="宋体" w:hAnsi="宋体" w:hint="eastAsia"/>
              </w:rPr>
              <w:t>一家基于</w:t>
            </w:r>
            <w:r w:rsidRPr="0048149D">
              <w:rPr>
                <w:rFonts w:ascii="宋体" w:eastAsia="宋体" w:hAnsi="宋体" w:hint="eastAsia"/>
              </w:rPr>
              <w:t>马来西亚的</w:t>
            </w:r>
            <w:r w:rsidR="0048149D" w:rsidRPr="0048149D">
              <w:rPr>
                <w:rFonts w:ascii="宋体" w:eastAsia="宋体" w:hAnsi="宋体" w:hint="eastAsia"/>
              </w:rPr>
              <w:t>大型企业集团，</w:t>
            </w:r>
            <w:r w:rsidR="0048149D" w:rsidRPr="0048149D">
              <w:rPr>
                <w:rFonts w:ascii="宋体" w:eastAsia="宋体" w:hAnsi="宋体"/>
              </w:rPr>
              <w:t>业务涉及众多行业，包括银行与金融服务、制造与分销、房地产开发与投资以及酒店与休闲领域等，业务遍及北亚和东南亚、西欧和英国、北美和大洋洲等。</w:t>
            </w:r>
          </w:p>
          <w:p w:rsidR="0048149D" w:rsidRDefault="0048149D" w:rsidP="0048149D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</w:p>
          <w:p w:rsidR="0048149D" w:rsidRPr="00D1567D" w:rsidRDefault="0048149D" w:rsidP="0048149D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丰隆公司没有最终控制人</w:t>
            </w:r>
            <w:r w:rsidR="00876890">
              <w:rPr>
                <w:rFonts w:ascii="宋体" w:eastAsia="宋体" w:hAnsi="宋体" w:hint="eastAsia"/>
              </w:rPr>
              <w:t>。</w:t>
            </w:r>
          </w:p>
        </w:tc>
      </w:tr>
      <w:tr w:rsidR="001C4C79" w:rsidRPr="00D11C71" w:rsidTr="00116CAA">
        <w:trPr>
          <w:trHeight w:val="557"/>
        </w:trPr>
        <w:tc>
          <w:tcPr>
            <w:tcW w:w="1809" w:type="dxa"/>
            <w:vMerge/>
            <w:shd w:val="clear" w:color="auto" w:fill="D9D9D9"/>
          </w:tcPr>
          <w:p w:rsidR="001C4C79" w:rsidRPr="00D11C71" w:rsidRDefault="001C4C79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</w:p>
        </w:tc>
        <w:tc>
          <w:tcPr>
            <w:tcW w:w="1447" w:type="dxa"/>
            <w:shd w:val="clear" w:color="auto" w:fill="auto"/>
          </w:tcPr>
          <w:p w:rsidR="001C4C79" w:rsidRDefault="001C4C79" w:rsidP="00116CAA">
            <w:pPr>
              <w:adjustRightInd w:val="0"/>
              <w:snapToGrid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</w:t>
            </w:r>
            <w:r>
              <w:rPr>
                <w:rFonts w:ascii="宋体" w:eastAsia="宋体" w:hAnsi="宋体"/>
              </w:rPr>
              <w:t>MUH</w:t>
            </w:r>
          </w:p>
        </w:tc>
        <w:tc>
          <w:tcPr>
            <w:tcW w:w="5502" w:type="dxa"/>
            <w:shd w:val="clear" w:color="auto" w:fill="auto"/>
          </w:tcPr>
          <w:p w:rsidR="001C4C79" w:rsidRPr="0048149D" w:rsidRDefault="0048149D" w:rsidP="00116CAA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IMUH于</w:t>
            </w: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006年在马来西亚成立</w:t>
            </w:r>
            <w:r>
              <w:rPr>
                <w:rFonts w:ascii="宋体" w:eastAsia="宋体" w:hAnsi="宋体" w:hint="eastAsia"/>
              </w:rPr>
              <w:t>。IMUH在马来西亚从事</w:t>
            </w:r>
            <w:r w:rsidRPr="0048149D">
              <w:rPr>
                <w:rFonts w:ascii="宋体" w:eastAsia="宋体" w:hAnsi="宋体" w:hint="eastAsia"/>
              </w:rPr>
              <w:t>高等教育服务、医院服务和透析服务。</w:t>
            </w:r>
          </w:p>
          <w:p w:rsidR="0048149D" w:rsidRPr="0048149D" w:rsidRDefault="0048149D" w:rsidP="00116CAA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</w:p>
          <w:p w:rsidR="0048149D" w:rsidRDefault="0048149D" w:rsidP="005469B9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 w:rsidRPr="0048149D">
              <w:rPr>
                <w:rFonts w:ascii="宋体" w:eastAsia="宋体" w:hAnsi="宋体"/>
              </w:rPr>
              <w:t>IMUH的最终控制人是IHH</w:t>
            </w:r>
            <w:r w:rsidRPr="0048149D">
              <w:rPr>
                <w:rFonts w:ascii="宋体" w:eastAsia="宋体" w:hAnsi="宋体" w:hint="eastAsia"/>
              </w:rPr>
              <w:t>。IHH是一家总部位于马来西亚的专注于高品质医疗服务的私营医疗集团。</w:t>
            </w:r>
          </w:p>
        </w:tc>
      </w:tr>
      <w:tr w:rsidR="00A40406" w:rsidRPr="00D11C71" w:rsidTr="00116CAA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  <w:r w:rsidRPr="00D11C71">
              <w:rPr>
                <w:rFonts w:ascii="宋体" w:eastAsia="宋体" w:hAnsi="宋体" w:hint="eastAsia"/>
                <w:b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 w:rsidRPr="00D11C71">
              <w:rPr>
                <w:rFonts w:ascii="宋体" w:eastAsia="宋体" w:hAnsi="宋体" w:cs="宋体" w:hint="eastAsia"/>
                <w:bCs/>
                <w:color w:val="000000"/>
                <w:lang w:val="en-GB"/>
              </w:rPr>
              <w:sym w:font="Wingdings" w:char="00A8"/>
            </w:r>
            <w:r w:rsidRPr="00D11C71">
              <w:rPr>
                <w:rFonts w:ascii="宋体" w:eastAsia="宋体" w:hAnsi="宋体"/>
              </w:rPr>
              <w:t xml:space="preserve"> 1、在同一相关市场，所有参与集中的经营者所占市场份额之和小于15%。</w:t>
            </w:r>
          </w:p>
        </w:tc>
      </w:tr>
      <w:tr w:rsidR="00A40406" w:rsidRPr="00D11C71" w:rsidTr="00116CAA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 w:rsidRPr="00D11C71">
              <w:rPr>
                <w:rFonts w:ascii="宋体" w:eastAsia="宋体" w:hAnsi="宋体" w:cs="宋体" w:hint="eastAsia"/>
                <w:bCs/>
                <w:color w:val="000000"/>
                <w:lang w:val="en-GB"/>
              </w:rPr>
              <w:sym w:font="Wingdings" w:char="00A8"/>
            </w:r>
            <w:r w:rsidRPr="00D11C71">
              <w:rPr>
                <w:rFonts w:ascii="宋体" w:eastAsia="宋体" w:hAnsi="宋体"/>
              </w:rPr>
              <w:t xml:space="preserve"> 2、存在上下游关系的参与集中的经营者，在上下游市场所占的市场份额均小于25%。</w:t>
            </w:r>
          </w:p>
        </w:tc>
      </w:tr>
      <w:tr w:rsidR="00A40406" w:rsidRPr="00D11C71" w:rsidTr="00116CAA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A40406" w:rsidRPr="00D11C71" w:rsidRDefault="001C4C79" w:rsidP="00116CAA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 w:rsidRPr="00D11C71">
              <w:rPr>
                <w:rFonts w:ascii="宋体" w:eastAsia="宋体" w:hAnsi="宋体" w:cs="宋体" w:hint="eastAsia"/>
                <w:bCs/>
                <w:color w:val="000000"/>
                <w:lang w:val="en-GB"/>
              </w:rPr>
              <w:sym w:font="Wingdings" w:char="00A8"/>
            </w:r>
            <w:r w:rsidR="00A40406" w:rsidRPr="00D11C71">
              <w:rPr>
                <w:rFonts w:ascii="宋体" w:eastAsia="宋体" w:hAnsi="宋体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A40406" w:rsidRPr="00D11C71" w:rsidTr="00116CAA">
        <w:trPr>
          <w:trHeight w:val="665"/>
        </w:trPr>
        <w:tc>
          <w:tcPr>
            <w:tcW w:w="1809" w:type="dxa"/>
            <w:vMerge/>
            <w:shd w:val="clear" w:color="auto" w:fill="D9D9D9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 w:rsidRPr="00D11C71">
              <w:rPr>
                <w:rFonts w:ascii="宋体" w:eastAsia="宋体" w:hAnsi="宋体" w:cs="宋体" w:hint="eastAsia"/>
                <w:bCs/>
                <w:color w:val="000000"/>
                <w:lang w:val="en-GB"/>
              </w:rPr>
              <w:sym w:font="Wingdings" w:char="00A8"/>
            </w:r>
            <w:r w:rsidRPr="00D11C71">
              <w:rPr>
                <w:rFonts w:ascii="宋体" w:eastAsia="宋体" w:hAnsi="宋体"/>
              </w:rPr>
              <w:t xml:space="preserve"> 4、参与集中的经营者在中国境外设立合营企业，合营企业不在中国境内从事经济活动。</w:t>
            </w:r>
          </w:p>
        </w:tc>
      </w:tr>
      <w:tr w:rsidR="00A40406" w:rsidRPr="00D11C71" w:rsidTr="00116CAA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A40406" w:rsidRPr="00D11C71" w:rsidRDefault="001C4C79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  <w:r w:rsidRPr="00D11C71">
              <w:rPr>
                <w:rFonts w:ascii="宋体" w:eastAsia="宋体" w:hAnsi="宋体" w:cs="宋体" w:hint="eastAsia"/>
                <w:bCs/>
                <w:color w:val="000000"/>
                <w:lang w:val="en-GB"/>
              </w:rPr>
              <w:sym w:font="Wingdings" w:char="00FE"/>
            </w:r>
            <w:r w:rsidR="00A40406" w:rsidRPr="00D11C71">
              <w:rPr>
                <w:rFonts w:ascii="宋体" w:eastAsia="宋体" w:hAnsi="宋体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A40406" w:rsidRPr="00D11C71" w:rsidTr="00116CAA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 w:rsidRPr="00D11C71">
              <w:rPr>
                <w:rFonts w:ascii="宋体" w:eastAsia="宋体" w:hAnsi="宋体" w:cs="宋体" w:hint="eastAsia"/>
                <w:bCs/>
                <w:color w:val="000000"/>
                <w:lang w:val="en-GB"/>
              </w:rPr>
              <w:sym w:font="Wingdings" w:char="00A8"/>
            </w:r>
            <w:r w:rsidRPr="00D11C71">
              <w:rPr>
                <w:rFonts w:ascii="宋体" w:eastAsia="宋体" w:hAnsi="宋体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A40406" w:rsidRPr="00D11C71" w:rsidTr="00116CAA">
        <w:tc>
          <w:tcPr>
            <w:tcW w:w="1809" w:type="dxa"/>
            <w:shd w:val="clear" w:color="auto" w:fill="D9D9D9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  <w:r w:rsidRPr="00D11C71">
              <w:rPr>
                <w:rFonts w:ascii="宋体" w:eastAsia="宋体" w:hAnsi="宋体" w:hint="eastAsia"/>
                <w:b/>
              </w:rPr>
              <w:lastRenderedPageBreak/>
              <w:t>备注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D1567D" w:rsidRPr="00CB0FED" w:rsidRDefault="001C4C79" w:rsidP="001C4C79">
            <w:pPr>
              <w:pStyle w:val="-11"/>
              <w:widowControl/>
              <w:snapToGrid w:val="0"/>
              <w:ind w:firstLineChars="0" w:firstLine="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不适用</w:t>
            </w:r>
            <w:r w:rsidR="001D1AB0">
              <w:rPr>
                <w:rFonts w:ascii="宋体" w:hAnsi="宋体" w:hint="eastAsia"/>
                <w:sz w:val="24"/>
              </w:rPr>
              <w:t>。</w:t>
            </w:r>
          </w:p>
        </w:tc>
      </w:tr>
      <w:bookmarkEnd w:id="0"/>
    </w:tbl>
    <w:p w:rsidR="00CB05AB" w:rsidRDefault="00CB05AB"/>
    <w:sectPr w:rsidR="00CB05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4C79" w:rsidRDefault="006F4C79" w:rsidP="00A40406">
      <w:r>
        <w:separator/>
      </w:r>
    </w:p>
  </w:endnote>
  <w:endnote w:type="continuationSeparator" w:id="0">
    <w:p w:rsidR="006F4C79" w:rsidRDefault="006F4C79" w:rsidP="00A40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4C79" w:rsidRDefault="006F4C79" w:rsidP="00A40406">
      <w:r>
        <w:separator/>
      </w:r>
    </w:p>
  </w:footnote>
  <w:footnote w:type="continuationSeparator" w:id="0">
    <w:p w:rsidR="006F4C79" w:rsidRDefault="006F4C79" w:rsidP="00A404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0283C"/>
    <w:multiLevelType w:val="hybridMultilevel"/>
    <w:tmpl w:val="CBF2B916"/>
    <w:lvl w:ilvl="0" w:tplc="D4A69E4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1F22FA9"/>
    <w:multiLevelType w:val="hybridMultilevel"/>
    <w:tmpl w:val="49769A4E"/>
    <w:lvl w:ilvl="0" w:tplc="D4A69E4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CA655C5"/>
    <w:multiLevelType w:val="hybridMultilevel"/>
    <w:tmpl w:val="60A88518"/>
    <w:lvl w:ilvl="0" w:tplc="D4A69E4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CC979CE"/>
    <w:multiLevelType w:val="hybridMultilevel"/>
    <w:tmpl w:val="98DEF6A4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71D3E81"/>
    <w:multiLevelType w:val="hybridMultilevel"/>
    <w:tmpl w:val="E55ED70E"/>
    <w:lvl w:ilvl="0" w:tplc="D64CDD2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5E37B05"/>
    <w:multiLevelType w:val="hybridMultilevel"/>
    <w:tmpl w:val="7A1E3B46"/>
    <w:lvl w:ilvl="0" w:tplc="D4A69E4C">
      <w:start w:val="1"/>
      <w:numFmt w:val="bullet"/>
      <w:lvlText w:val="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6">
    <w:nsid w:val="362321C9"/>
    <w:multiLevelType w:val="multilevel"/>
    <w:tmpl w:val="8B9C8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>
    <w:nsid w:val="52B94DAF"/>
    <w:multiLevelType w:val="hybridMultilevel"/>
    <w:tmpl w:val="CF8E34A8"/>
    <w:lvl w:ilvl="0" w:tplc="ADC840A2">
      <w:start w:val="1"/>
      <w:numFmt w:val="decimal"/>
      <w:pStyle w:val="Para123"/>
      <w:lvlText w:val="(%1)"/>
      <w:lvlJc w:val="right"/>
      <w:pPr>
        <w:ind w:left="420" w:hanging="420"/>
      </w:pPr>
      <w:rPr>
        <w:rFonts w:hint="eastAsia"/>
        <w:b w:val="0"/>
        <w:i w:val="0"/>
        <w:iCs w:val="0"/>
        <w:color w:val="BFBFBF" w:themeColor="background1" w:themeShade="BF"/>
      </w:rPr>
    </w:lvl>
    <w:lvl w:ilvl="1" w:tplc="8C4E1C1C">
      <w:start w:val="1"/>
      <w:numFmt w:val="lowerRoman"/>
      <w:lvlText w:val="(%2)"/>
      <w:lvlJc w:val="left"/>
      <w:pPr>
        <w:ind w:left="840" w:hanging="420"/>
      </w:pPr>
      <w:rPr>
        <w:rFonts w:hint="eastAsia"/>
        <w:b w:val="0"/>
        <w:i w:val="0"/>
      </w:rPr>
    </w:lvl>
    <w:lvl w:ilvl="2" w:tplc="04090001">
      <w:start w:val="1"/>
      <w:numFmt w:val="bullet"/>
      <w:lvlText w:val=""/>
      <w:lvlJc w:val="left"/>
      <w:pPr>
        <w:ind w:left="1260" w:hanging="42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62E7B9A"/>
    <w:multiLevelType w:val="hybridMultilevel"/>
    <w:tmpl w:val="49E2BFD8"/>
    <w:lvl w:ilvl="0" w:tplc="FB104E5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12B73E2"/>
    <w:multiLevelType w:val="hybridMultilevel"/>
    <w:tmpl w:val="D66A56B0"/>
    <w:lvl w:ilvl="0" w:tplc="6D92E7D8">
      <w:start w:val="1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5"/>
  </w:num>
  <w:num w:numId="5">
    <w:abstractNumId w:val="0"/>
  </w:num>
  <w:num w:numId="6">
    <w:abstractNumId w:val="2"/>
  </w:num>
  <w:num w:numId="7">
    <w:abstractNumId w:val="1"/>
  </w:num>
  <w:num w:numId="8">
    <w:abstractNumId w:val="4"/>
  </w:num>
  <w:num w:numId="9">
    <w:abstractNumId w:val="6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73B"/>
    <w:rsid w:val="000208DD"/>
    <w:rsid w:val="00035D96"/>
    <w:rsid w:val="0004335D"/>
    <w:rsid w:val="00081830"/>
    <w:rsid w:val="000922AF"/>
    <w:rsid w:val="001514B2"/>
    <w:rsid w:val="001C4C79"/>
    <w:rsid w:val="001D1AB0"/>
    <w:rsid w:val="00223B2F"/>
    <w:rsid w:val="00337D5A"/>
    <w:rsid w:val="00373276"/>
    <w:rsid w:val="003E12DF"/>
    <w:rsid w:val="0041028C"/>
    <w:rsid w:val="0048149D"/>
    <w:rsid w:val="004A0BFE"/>
    <w:rsid w:val="005240E5"/>
    <w:rsid w:val="0053619F"/>
    <w:rsid w:val="00542412"/>
    <w:rsid w:val="005469B9"/>
    <w:rsid w:val="0055262A"/>
    <w:rsid w:val="005A073B"/>
    <w:rsid w:val="005C3DF0"/>
    <w:rsid w:val="00651108"/>
    <w:rsid w:val="00660AD8"/>
    <w:rsid w:val="00670125"/>
    <w:rsid w:val="006F4C79"/>
    <w:rsid w:val="00737356"/>
    <w:rsid w:val="00876890"/>
    <w:rsid w:val="00924E14"/>
    <w:rsid w:val="009457A4"/>
    <w:rsid w:val="0097617E"/>
    <w:rsid w:val="00A3757B"/>
    <w:rsid w:val="00A40406"/>
    <w:rsid w:val="00A93B8B"/>
    <w:rsid w:val="00B358DB"/>
    <w:rsid w:val="00B56953"/>
    <w:rsid w:val="00B9588A"/>
    <w:rsid w:val="00C65E48"/>
    <w:rsid w:val="00CA77EB"/>
    <w:rsid w:val="00CB05AB"/>
    <w:rsid w:val="00CB0FED"/>
    <w:rsid w:val="00CB3F4E"/>
    <w:rsid w:val="00CD5743"/>
    <w:rsid w:val="00D11C71"/>
    <w:rsid w:val="00D126BE"/>
    <w:rsid w:val="00D1567D"/>
    <w:rsid w:val="00DC28A3"/>
    <w:rsid w:val="00E431EF"/>
    <w:rsid w:val="00E82CFC"/>
    <w:rsid w:val="00E86133"/>
    <w:rsid w:val="00EA332C"/>
    <w:rsid w:val="00EC35D9"/>
    <w:rsid w:val="00EF259E"/>
    <w:rsid w:val="00F27745"/>
    <w:rsid w:val="00F639F1"/>
    <w:rsid w:val="00FC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BB47A8F-C3EF-4390-854E-1C49E89B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0406"/>
    <w:pPr>
      <w:widowControl w:val="0"/>
      <w:jc w:val="both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404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4040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404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40406"/>
    <w:rPr>
      <w:sz w:val="18"/>
      <w:szCs w:val="18"/>
    </w:rPr>
  </w:style>
  <w:style w:type="paragraph" w:customStyle="1" w:styleId="Para123">
    <w:name w:val="Para (1) (2) (3)"/>
    <w:basedOn w:val="a5"/>
    <w:link w:val="Para123Char"/>
    <w:qFormat/>
    <w:rsid w:val="00A40406"/>
    <w:pPr>
      <w:numPr>
        <w:numId w:val="2"/>
      </w:numPr>
      <w:snapToGrid w:val="0"/>
      <w:spacing w:after="200" w:line="280" w:lineRule="exact"/>
      <w:ind w:firstLineChars="0" w:firstLine="0"/>
    </w:pPr>
    <w:rPr>
      <w:rFonts w:ascii="Times New Roman" w:hAnsi="Times New Roman" w:cs="Times New Roman"/>
      <w:kern w:val="0"/>
      <w:sz w:val="22"/>
      <w:szCs w:val="22"/>
    </w:rPr>
  </w:style>
  <w:style w:type="paragraph" w:styleId="a6">
    <w:name w:val="footnote text"/>
    <w:aliases w:val="fn,ft,Char Char,Texto nota pie Car,각주 텍스트1,Footnote Text Char Car,ALTS FOOTNOTE,Mod-Footnote Text,ALTS FOOTNOTE Char,Footnote Text Char1 Char,Footnote Text Char Char1 Char,ft Char Char Char,Footnote Text Char3 Char Char Char,Car,FT"/>
    <w:basedOn w:val="a"/>
    <w:link w:val="Char1"/>
    <w:unhideWhenUsed/>
    <w:qFormat/>
    <w:rsid w:val="00A40406"/>
    <w:pPr>
      <w:snapToGrid w:val="0"/>
      <w:jc w:val="left"/>
    </w:pPr>
    <w:rPr>
      <w:sz w:val="18"/>
      <w:szCs w:val="18"/>
    </w:rPr>
  </w:style>
  <w:style w:type="character" w:customStyle="1" w:styleId="Char1">
    <w:name w:val="脚注文本 Char"/>
    <w:aliases w:val="fn Char,ft Char,Char Char Char,Texto nota pie Car Char,각주 텍스트1 Char,Footnote Text Char Car Char,ALTS FOOTNOTE Char1,Mod-Footnote Text Char,ALTS FOOTNOTE Char Char,Footnote Text Char1 Char Char,Footnote Text Char Char1 Char Char,Car Char"/>
    <w:basedOn w:val="a0"/>
    <w:link w:val="a6"/>
    <w:rsid w:val="00A40406"/>
    <w:rPr>
      <w:sz w:val="18"/>
      <w:szCs w:val="18"/>
    </w:rPr>
  </w:style>
  <w:style w:type="character" w:customStyle="1" w:styleId="Para123Char">
    <w:name w:val="Para (1) (2) (3) Char"/>
    <w:basedOn w:val="a0"/>
    <w:link w:val="Para123"/>
    <w:rsid w:val="00A40406"/>
    <w:rPr>
      <w:rFonts w:ascii="Times New Roman" w:hAnsi="Times New Roman" w:cs="Times New Roman"/>
      <w:kern w:val="0"/>
      <w:sz w:val="22"/>
    </w:rPr>
  </w:style>
  <w:style w:type="character" w:styleId="a7">
    <w:name w:val="footnote reference"/>
    <w:aliases w:val="fr,(NECG) Footnote Reference,FC,-E Fußnotenzeichen,o,de nota al pie,Style 131,Style 27,Style 36,Style 45,Style 3,Appel note de bas de p,Style 12,Style 124,Style 13,Footnote symbol,Style 17,FR,Footnote Reference/,callout,BVI fnr,Ref"/>
    <w:basedOn w:val="a0"/>
    <w:link w:val="ZFootnoteText"/>
    <w:unhideWhenUsed/>
    <w:qFormat/>
    <w:rsid w:val="00A40406"/>
    <w:rPr>
      <w:vertAlign w:val="superscript"/>
    </w:rPr>
  </w:style>
  <w:style w:type="table" w:styleId="a8">
    <w:name w:val="Table Grid"/>
    <w:basedOn w:val="a1"/>
    <w:uiPriority w:val="59"/>
    <w:rsid w:val="00A404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ZFootnoteText">
    <w:name w:val="Z_Footnote Text"/>
    <w:basedOn w:val="a"/>
    <w:link w:val="a7"/>
    <w:rsid w:val="00A40406"/>
    <w:pPr>
      <w:widowControl/>
      <w:spacing w:after="160" w:line="240" w:lineRule="exact"/>
      <w:jc w:val="left"/>
    </w:pPr>
    <w:rPr>
      <w:sz w:val="21"/>
      <w:szCs w:val="22"/>
      <w:vertAlign w:val="superscript"/>
    </w:rPr>
  </w:style>
  <w:style w:type="table" w:customStyle="1" w:styleId="1">
    <w:name w:val="网格型1"/>
    <w:basedOn w:val="a1"/>
    <w:next w:val="a8"/>
    <w:uiPriority w:val="59"/>
    <w:rsid w:val="00A40406"/>
    <w:rPr>
      <w:kern w:val="0"/>
      <w:sz w:val="22"/>
      <w:lang w:eastAsia="zh-T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11">
    <w:name w:val="彩色列表 - 强调文字颜色 11"/>
    <w:basedOn w:val="a"/>
    <w:uiPriority w:val="34"/>
    <w:qFormat/>
    <w:rsid w:val="00A40406"/>
    <w:pPr>
      <w:ind w:firstLineChars="200" w:firstLine="420"/>
    </w:pPr>
    <w:rPr>
      <w:rFonts w:ascii="Times New Roman" w:eastAsia="宋体" w:hAnsi="Times New Roman" w:cs="Times New Roman"/>
      <w:sz w:val="21"/>
    </w:rPr>
  </w:style>
  <w:style w:type="paragraph" w:styleId="a5">
    <w:name w:val="List Paragraph"/>
    <w:basedOn w:val="a"/>
    <w:uiPriority w:val="34"/>
    <w:qFormat/>
    <w:rsid w:val="00A40406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55262A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5526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522</Characters>
  <Application>Microsoft Office Word</Application>
  <DocSecurity>0</DocSecurity>
  <Lines>40</Lines>
  <Paragraphs>33</Paragraphs>
  <ScaleCrop>false</ScaleCrop>
  <Company/>
  <LinksUpToDate>false</LinksUpToDate>
  <CharactersWithSpaces>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Fangda</dc:creator>
  <cp:keywords/>
  <dc:description/>
  <cp:lastModifiedBy>Fangda</cp:lastModifiedBy>
  <cp:revision>2</cp:revision>
  <dcterms:created xsi:type="dcterms:W3CDTF">2022-07-05T08:51:00Z</dcterms:created>
  <dcterms:modified xsi:type="dcterms:W3CDTF">2022-07-05T08:51:00Z</dcterms:modified>
</cp:coreProperties>
</file>