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sz w:val="30"/>
          <w:szCs w:val="30"/>
        </w:rPr>
      </w:pPr>
      <w:r>
        <w:rPr>
          <w:rFonts w:ascii="Times New Roman" w:hAnsi="Times New Roman"/>
          <w:sz w:val="30"/>
          <w:szCs w:val="30"/>
        </w:rPr>
        <w:t>经营者集中简易案件公示表</w:t>
      </w:r>
    </w:p>
    <w:tbl>
      <w:tblPr>
        <w:tblStyle w:val="6"/>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1384"/>
        <w:gridCol w:w="51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t>案件名称</w:t>
            </w:r>
          </w:p>
        </w:tc>
        <w:tc>
          <w:tcPr>
            <w:tcW w:w="6487" w:type="dxa"/>
            <w:gridSpan w:val="2"/>
          </w:tcPr>
          <w:p>
            <w:pPr>
              <w:snapToGrid w:val="0"/>
              <w:rPr>
                <w:rFonts w:ascii="Times New Roman" w:hAnsi="Times New Roman"/>
                <w:color w:val="000000" w:themeColor="text1"/>
                <w:kern w:val="0"/>
                <w:sz w:val="22"/>
                <w14:textFill>
                  <w14:solidFill>
                    <w14:schemeClr w14:val="tx1"/>
                  </w14:solidFill>
                </w14:textFill>
              </w:rPr>
            </w:pPr>
            <w:r>
              <w:rPr>
                <w:rFonts w:hint="eastAsia" w:ascii="Times New Roman" w:hAnsi="Times New Roman"/>
                <w:kern w:val="0"/>
                <w:sz w:val="22"/>
              </w:rPr>
              <w:t>安宏国际资本公司收购朗盛股份有限公司部分业务案</w:t>
            </w:r>
            <w:r>
              <w:rPr>
                <w:rFonts w:ascii="Times New Roman" w:hAnsi="Times New Roman"/>
                <w:kern w:val="0"/>
                <w:sz w:val="22"/>
              </w:rPr>
              <w:t>（以下简称“</w:t>
            </w:r>
            <w:r>
              <w:rPr>
                <w:rFonts w:hint="eastAsia" w:ascii="Times New Roman" w:hAnsi="Times New Roman"/>
                <w:b/>
                <w:kern w:val="0"/>
                <w:sz w:val="22"/>
              </w:rPr>
              <w:t>本次</w:t>
            </w:r>
            <w:r>
              <w:rPr>
                <w:rFonts w:ascii="Times New Roman" w:hAnsi="Times New Roman"/>
                <w:b/>
                <w:kern w:val="0"/>
                <w:sz w:val="22"/>
              </w:rPr>
              <w:t>交易</w:t>
            </w:r>
            <w:r>
              <w:rPr>
                <w:rFonts w:ascii="Times New Roman" w:hAnsi="Times New Roman"/>
                <w:kern w:val="0"/>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730" w:type="dxa"/>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t>交易概况</w:t>
            </w:r>
          </w:p>
          <w:p>
            <w:pPr>
              <w:jc w:val="cente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t>（限200字内）</w:t>
            </w:r>
          </w:p>
        </w:tc>
        <w:tc>
          <w:tcPr>
            <w:tcW w:w="6487" w:type="dxa"/>
            <w:gridSpan w:val="2"/>
          </w:tcPr>
          <w:p>
            <w:pPr>
              <w:snapToGrid w:val="0"/>
              <w:rPr>
                <w:rFonts w:ascii="Times New Roman" w:hAnsi="Times New Roman"/>
                <w:kern w:val="0"/>
                <w:sz w:val="22"/>
              </w:rPr>
            </w:pPr>
            <w:r>
              <w:rPr>
                <w:rFonts w:ascii="Times New Roman" w:hAnsi="Times New Roman"/>
                <w:kern w:val="0"/>
                <w:sz w:val="22"/>
              </w:rPr>
              <w:t>安宏国际</w:t>
            </w:r>
            <w:r>
              <w:rPr>
                <w:rFonts w:hint="eastAsia" w:ascii="Times New Roman" w:hAnsi="Times New Roman"/>
                <w:kern w:val="0"/>
                <w:sz w:val="22"/>
              </w:rPr>
              <w:t>资本</w:t>
            </w:r>
            <w:r>
              <w:rPr>
                <w:rFonts w:ascii="Times New Roman" w:hAnsi="Times New Roman"/>
                <w:kern w:val="0"/>
                <w:sz w:val="22"/>
              </w:rPr>
              <w:t>公司</w:t>
            </w:r>
            <w:r>
              <w:rPr>
                <w:rFonts w:hint="eastAsia" w:ascii="Times New Roman" w:hAnsi="Times New Roman"/>
                <w:kern w:val="0"/>
                <w:sz w:val="22"/>
              </w:rPr>
              <w:t>（“</w:t>
            </w:r>
            <w:r>
              <w:rPr>
                <w:rFonts w:hint="eastAsia" w:ascii="Times New Roman" w:hAnsi="Times New Roman"/>
                <w:b/>
                <w:kern w:val="0"/>
                <w:sz w:val="22"/>
              </w:rPr>
              <w:t>安宏</w:t>
            </w:r>
            <w:r>
              <w:rPr>
                <w:rFonts w:hint="eastAsia" w:ascii="Times New Roman" w:hAnsi="Times New Roman"/>
                <w:b/>
                <w:bCs/>
                <w:kern w:val="0"/>
                <w:sz w:val="22"/>
              </w:rPr>
              <w:t>资本</w:t>
            </w:r>
            <w:r>
              <w:rPr>
                <w:rFonts w:hint="eastAsia" w:ascii="Times New Roman" w:hAnsi="Times New Roman"/>
                <w:kern w:val="0"/>
                <w:sz w:val="22"/>
              </w:rPr>
              <w:t>”）与朗盛股份有限公司（“</w:t>
            </w:r>
            <w:r>
              <w:rPr>
                <w:rFonts w:hint="eastAsia" w:ascii="Times New Roman" w:hAnsi="Times New Roman"/>
                <w:b/>
                <w:kern w:val="0"/>
                <w:sz w:val="22"/>
              </w:rPr>
              <w:t>朗盛</w:t>
            </w:r>
            <w:r>
              <w:rPr>
                <w:rFonts w:hint="eastAsia" w:ascii="Times New Roman" w:hAnsi="Times New Roman"/>
                <w:kern w:val="0"/>
                <w:sz w:val="22"/>
              </w:rPr>
              <w:t>”）签署协议，通过设立合营企业</w:t>
            </w:r>
            <w:r>
              <w:rPr>
                <w:rFonts w:hint="eastAsia" w:ascii="Times New Roman" w:hAnsi="Times New Roman"/>
                <w:sz w:val="22"/>
              </w:rPr>
              <w:t>收购</w:t>
            </w:r>
            <w:r>
              <w:rPr>
                <w:rFonts w:hint="eastAsia" w:ascii="Times New Roman" w:hAnsi="Times New Roman"/>
                <w:kern w:val="0"/>
                <w:sz w:val="22"/>
              </w:rPr>
              <w:t>朗盛高性能材料业务</w:t>
            </w:r>
            <w:r>
              <w:rPr>
                <w:rFonts w:hint="eastAsia" w:ascii="Times New Roman" w:hAnsi="Times New Roman"/>
                <w:sz w:val="22"/>
              </w:rPr>
              <w:t>。</w:t>
            </w:r>
          </w:p>
          <w:p>
            <w:pPr>
              <w:snapToGrid w:val="0"/>
              <w:rPr>
                <w:rFonts w:ascii="Times New Roman" w:hAnsi="Times New Roman"/>
                <w:color w:val="000000" w:themeColor="text1"/>
                <w:kern w:val="0"/>
                <w:sz w:val="22"/>
                <w14:textFill>
                  <w14:solidFill>
                    <w14:schemeClr w14:val="tx1"/>
                  </w14:solidFill>
                </w14:textFill>
              </w:rPr>
            </w:pPr>
            <w:bookmarkStart w:id="0" w:name="_GoBack"/>
            <w:bookmarkEnd w:id="0"/>
            <w:r>
              <w:rPr>
                <w:rFonts w:hint="eastAsia" w:ascii="Times New Roman" w:hAnsi="Times New Roman"/>
                <w:kern w:val="0"/>
                <w:sz w:val="22"/>
              </w:rPr>
              <w:t>本次交易前，朗盛单独控制朗盛高性能材料业务。本次交易后，安宏资本将单独控制合营企业，从而单独控制朗盛高性能材料业务。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730" w:type="dxa"/>
            <w:vMerge w:val="restart"/>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t>参与集中的</w:t>
            </w:r>
          </w:p>
          <w:p>
            <w:pPr>
              <w:jc w:val="cente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t>经营者简介</w:t>
            </w:r>
          </w:p>
        </w:tc>
        <w:tc>
          <w:tcPr>
            <w:tcW w:w="1384" w:type="dxa"/>
            <w:vAlign w:val="center"/>
          </w:tcPr>
          <w:p>
            <w:pP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t>1、</w:t>
            </w:r>
            <w:r>
              <w:rPr>
                <w:rFonts w:hint="eastAsia" w:ascii="Times New Roman" w:hAnsi="Times New Roman"/>
                <w:color w:val="000000" w:themeColor="text1"/>
                <w:kern w:val="0"/>
                <w:sz w:val="22"/>
                <w14:textFill>
                  <w14:solidFill>
                    <w14:schemeClr w14:val="tx1"/>
                  </w14:solidFill>
                </w14:textFill>
              </w:rPr>
              <w:t>安宏资本</w:t>
            </w:r>
          </w:p>
        </w:tc>
        <w:tc>
          <w:tcPr>
            <w:tcW w:w="5103" w:type="dxa"/>
          </w:tcPr>
          <w:p>
            <w:pPr>
              <w:rPr>
                <w:rFonts w:ascii="Times New Roman" w:hAnsi="Times New Roman"/>
                <w:color w:val="000000" w:themeColor="text1"/>
                <w:kern w:val="0"/>
                <w:sz w:val="22"/>
                <w14:textFill>
                  <w14:solidFill>
                    <w14:schemeClr w14:val="tx1"/>
                  </w14:solidFill>
                </w14:textFill>
              </w:rPr>
            </w:pPr>
            <w:r>
              <w:rPr>
                <w:rFonts w:hint="eastAsia" w:ascii="Times New Roman" w:hAnsi="Times New Roman"/>
                <w:color w:val="000000" w:themeColor="text1"/>
                <w:kern w:val="0"/>
                <w:sz w:val="22"/>
                <w14:textFill>
                  <w14:solidFill>
                    <w14:schemeClr w14:val="tx1"/>
                  </w14:solidFill>
                </w14:textFill>
              </w:rPr>
              <w:t>安宏资本于1984年成立于美国，是一家总部位于美国马萨诸塞州波士顿市的私募股权投资集团。安宏资本专注于全球各个行业的股权收购和投资基金管理，包括商业和金融服务；工业产品和服务；零售业务、品牌消费品和休闲服务；媒体、电信和信息技术；以及医疗服务和药品。</w:t>
            </w:r>
          </w:p>
          <w:p>
            <w:pPr>
              <w:rPr>
                <w:rFonts w:ascii="Times New Roman" w:hAnsi="Times New Roman"/>
                <w:color w:val="000000" w:themeColor="text1"/>
                <w:kern w:val="0"/>
                <w:sz w:val="22"/>
                <w14:textFill>
                  <w14:solidFill>
                    <w14:schemeClr w14:val="tx1"/>
                  </w14:solidFill>
                </w14:textFill>
              </w:rPr>
            </w:pPr>
            <w:r>
              <w:rPr>
                <w:rFonts w:hint="eastAsia" w:ascii="Times New Roman" w:hAnsi="Times New Roman"/>
                <w:color w:val="000000" w:themeColor="text1"/>
                <w:kern w:val="0"/>
                <w:sz w:val="22"/>
                <w14:textFill>
                  <w14:solidFill>
                    <w14:schemeClr w14:val="tx1"/>
                  </w14:solidFill>
                </w14:textFill>
              </w:rPr>
              <w:t>安宏资本无最终控制人。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730" w:type="dxa"/>
            <w:vMerge w:val="continue"/>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p>
        </w:tc>
        <w:tc>
          <w:tcPr>
            <w:tcW w:w="1384" w:type="dxa"/>
            <w:vAlign w:val="center"/>
          </w:tcPr>
          <w:p>
            <w:pP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t>2、</w:t>
            </w:r>
            <w:r>
              <w:rPr>
                <w:rFonts w:hint="eastAsia" w:ascii="Times New Roman" w:hAnsi="Times New Roman"/>
                <w:kern w:val="0"/>
                <w:sz w:val="22"/>
              </w:rPr>
              <w:t>朗盛高性能材料业务</w:t>
            </w:r>
          </w:p>
        </w:tc>
        <w:tc>
          <w:tcPr>
            <w:tcW w:w="5103" w:type="dxa"/>
          </w:tcPr>
          <w:p>
            <w:pPr>
              <w:widowControl/>
              <w:snapToGrid w:val="0"/>
              <w:rPr>
                <w:rFonts w:ascii="Times New Roman" w:hAnsi="Times New Roman"/>
                <w:color w:val="000000"/>
                <w:spacing w:val="-2"/>
                <w:sz w:val="22"/>
              </w:rPr>
            </w:pPr>
            <w:r>
              <w:rPr>
                <w:rFonts w:hint="eastAsia" w:ascii="Times New Roman" w:hAnsi="Times New Roman"/>
                <w:kern w:val="0"/>
                <w:sz w:val="22"/>
              </w:rPr>
              <w:t>朗盛高性能材料业务</w:t>
            </w:r>
            <w:r>
              <w:rPr>
                <w:rFonts w:hint="eastAsia" w:ascii="Times New Roman" w:hAnsi="Times New Roman"/>
                <w:color w:val="000000"/>
                <w:spacing w:val="-2"/>
                <w:sz w:val="22"/>
              </w:rPr>
              <w:t>从事高性能热塑聚合物，以及用于生产聚酰胺类工程塑料、</w:t>
            </w:r>
            <w:r>
              <w:rPr>
                <w:rFonts w:hint="eastAsia" w:ascii="Times New Roman" w:hAnsi="Times New Roman"/>
                <w:color w:val="000000"/>
                <w:sz w:val="22"/>
              </w:rPr>
              <w:t>聚对苯二甲酸丁二醇酯</w:t>
            </w:r>
            <w:r>
              <w:rPr>
                <w:rFonts w:hint="eastAsia" w:ascii="Times New Roman" w:hAnsi="Times New Roman"/>
                <w:color w:val="000000"/>
                <w:spacing w:val="-2"/>
                <w:sz w:val="22"/>
              </w:rPr>
              <w:t>类工程塑料和连续纤维增强热塑复合材料等聚合物所需的中间体的生产、销售和营销。</w:t>
            </w:r>
          </w:p>
          <w:p>
            <w:pPr>
              <w:widowControl/>
              <w:snapToGrid w:val="0"/>
              <w:rPr>
                <w:rFonts w:ascii="Times" w:hAnsi="Times"/>
                <w:color w:val="000000" w:themeColor="text1"/>
                <w:sz w:val="22"/>
                <w:lang w:val="en-GB"/>
                <w14:textFill>
                  <w14:solidFill>
                    <w14:schemeClr w14:val="tx1"/>
                  </w14:solidFill>
                </w14:textFill>
              </w:rPr>
            </w:pPr>
            <w:r>
              <w:rPr>
                <w:rFonts w:hint="eastAsia" w:ascii="Times New Roman" w:hAnsi="Times New Roman"/>
                <w:kern w:val="0"/>
                <w:sz w:val="22"/>
              </w:rPr>
              <w:t>朗盛高性能材料业务的最终控制人为朗盛，于1999年成立于德国。</w:t>
            </w:r>
            <w:r>
              <w:rPr>
                <w:rFonts w:hint="eastAsia" w:ascii="Times New Roman" w:hAnsi="Times New Roman"/>
                <w:color w:val="000000"/>
                <w:sz w:val="22"/>
              </w:rPr>
              <w:t>朗盛的核心业务是开发、生产和销售化学中间体、添加剂、特种化学品和塑料。朗盛的经营业务由以下四大板块组成：特种添加剂；高等中间体；消费者防护产品；和工程材料。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730" w:type="dxa"/>
            <w:vMerge w:val="restart"/>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t>简易案件理由（可以单选，也可以多选）</w:t>
            </w:r>
          </w:p>
        </w:tc>
        <w:tc>
          <w:tcPr>
            <w:tcW w:w="6487" w:type="dxa"/>
            <w:gridSpan w:val="2"/>
          </w:tcPr>
          <w:p>
            <w:pP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sym w:font="Wingdings" w:char="F0A8"/>
            </w:r>
            <w:r>
              <w:rPr>
                <w:rFonts w:ascii="Times New Roman" w:hAnsi="Times New Roman"/>
                <w:color w:val="000000" w:themeColor="text1"/>
                <w:kern w:val="0"/>
                <w:sz w:val="22"/>
                <w14:textFill>
                  <w14:solidFill>
                    <w14:schemeClr w14:val="tx1"/>
                  </w14:solidFill>
                </w14:textFill>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730" w:type="dxa"/>
            <w:vMerge w:val="continue"/>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p>
        </w:tc>
        <w:tc>
          <w:tcPr>
            <w:tcW w:w="6487" w:type="dxa"/>
            <w:gridSpan w:val="2"/>
          </w:tcPr>
          <w:p>
            <w:pP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sym w:font="Wingdings" w:char="F0A8"/>
            </w:r>
            <w:r>
              <w:rPr>
                <w:rFonts w:ascii="Times New Roman" w:hAnsi="Times New Roman"/>
                <w:color w:val="000000" w:themeColor="text1"/>
                <w:kern w:val="0"/>
                <w:sz w:val="22"/>
                <w14:textFill>
                  <w14:solidFill>
                    <w14:schemeClr w14:val="tx1"/>
                  </w14:solidFill>
                </w14:textFill>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730" w:type="dxa"/>
            <w:vMerge w:val="continue"/>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p>
        </w:tc>
        <w:tc>
          <w:tcPr>
            <w:tcW w:w="6487" w:type="dxa"/>
            <w:gridSpan w:val="2"/>
          </w:tcPr>
          <w:p>
            <w:pP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sym w:font="Wingdings" w:char="F0FE"/>
            </w:r>
            <w:r>
              <w:rPr>
                <w:rFonts w:ascii="Times New Roman" w:hAnsi="Times New Roman"/>
                <w:color w:val="000000" w:themeColor="text1"/>
                <w:kern w:val="0"/>
                <w:sz w:val="22"/>
                <w14:textFill>
                  <w14:solidFill>
                    <w14:schemeClr w14:val="tx1"/>
                  </w14:solidFill>
                </w14:textFill>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1730" w:type="dxa"/>
            <w:vMerge w:val="continue"/>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p>
        </w:tc>
        <w:tc>
          <w:tcPr>
            <w:tcW w:w="6487" w:type="dxa"/>
            <w:gridSpan w:val="2"/>
          </w:tcPr>
          <w:p>
            <w:pP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sym w:font="Wingdings" w:char="F0A8"/>
            </w:r>
            <w:r>
              <w:rPr>
                <w:rFonts w:ascii="Times New Roman" w:hAnsi="Times New Roman"/>
                <w:color w:val="000000" w:themeColor="text1"/>
                <w:kern w:val="0"/>
                <w:sz w:val="22"/>
                <w14:textFill>
                  <w14:solidFill>
                    <w14:schemeClr w14:val="tx1"/>
                  </w14:solidFill>
                </w14:textFill>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0" w:type="dxa"/>
            <w:vMerge w:val="continue"/>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p>
        </w:tc>
        <w:tc>
          <w:tcPr>
            <w:tcW w:w="6487" w:type="dxa"/>
            <w:gridSpan w:val="2"/>
          </w:tcPr>
          <w:p>
            <w:pP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sym w:font="Wingdings" w:char="F0A8"/>
            </w:r>
            <w:r>
              <w:rPr>
                <w:rFonts w:ascii="Times New Roman" w:hAnsi="Times New Roman"/>
                <w:color w:val="000000" w:themeColor="text1"/>
                <w:kern w:val="0"/>
                <w:sz w:val="22"/>
                <w14:textFill>
                  <w14:solidFill>
                    <w14:schemeClr w14:val="tx1"/>
                  </w14:solidFill>
                </w14:textFill>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730" w:type="dxa"/>
            <w:vMerge w:val="continue"/>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p>
        </w:tc>
        <w:tc>
          <w:tcPr>
            <w:tcW w:w="6487" w:type="dxa"/>
            <w:gridSpan w:val="2"/>
          </w:tcPr>
          <w:p>
            <w:pP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sym w:font="Wingdings" w:char="F0A8"/>
            </w:r>
            <w:r>
              <w:rPr>
                <w:rFonts w:ascii="Times New Roman" w:hAnsi="Times New Roman"/>
                <w:color w:val="000000" w:themeColor="text1"/>
                <w:kern w:val="0"/>
                <w:sz w:val="22"/>
                <w14:textFill>
                  <w14:solidFill>
                    <w14:schemeClr w14:val="tx1"/>
                  </w14:solidFill>
                </w14:textFill>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t>备注</w:t>
            </w:r>
          </w:p>
        </w:tc>
        <w:tc>
          <w:tcPr>
            <w:tcW w:w="6487" w:type="dxa"/>
            <w:gridSpan w:val="2"/>
          </w:tcPr>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0"/>
              <w:gridCol w:w="1559"/>
              <w:gridCol w:w="2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相关商品市场</w:t>
                  </w:r>
                </w:p>
              </w:tc>
              <w:tc>
                <w:tcPr>
                  <w:tcW w:w="1559"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相关地域市场</w:t>
                  </w:r>
                </w:p>
              </w:tc>
              <w:tc>
                <w:tcPr>
                  <w:tcW w:w="2862"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2021年市场份额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聚酰胺6基础聚合物</w:t>
                  </w:r>
                </w:p>
              </w:tc>
              <w:tc>
                <w:tcPr>
                  <w:tcW w:w="1559"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中国境内</w:t>
                  </w:r>
                </w:p>
              </w:tc>
              <w:tc>
                <w:tcPr>
                  <w:tcW w:w="2862" w:type="dxa"/>
                </w:tcPr>
                <w:p>
                  <w:pPr>
                    <w:numPr>
                      <w:ilvl w:val="0"/>
                      <w:numId w:val="0"/>
                    </w:numPr>
                    <w:adjustRightInd w:val="0"/>
                    <w:snapToGrid w:val="0"/>
                    <w:spacing w:line="340" w:lineRule="exact"/>
                    <w:ind w:firstLine="0"/>
                    <w:jc w:val="left"/>
                    <w:rPr>
                      <w:rFonts w:ascii="Times New Roman" w:hAnsi="Times New Roman"/>
                      <w:bCs/>
                      <w:color w:val="000000"/>
                      <w:kern w:val="0"/>
                      <w:sz w:val="20"/>
                      <w:szCs w:val="20"/>
                    </w:rPr>
                  </w:pPr>
                  <w:r>
                    <w:rPr>
                      <w:rFonts w:hint="eastAsia" w:ascii="Times New Roman" w:hAnsi="Times New Roman"/>
                      <w:kern w:val="0"/>
                      <w:sz w:val="22"/>
                      <w:szCs w:val="20"/>
                    </w:rPr>
                    <w:t>朗盛高性能材料业务：</w:t>
                  </w:r>
                  <w:r>
                    <w:rPr>
                      <w:rFonts w:ascii="Times New Roman" w:hAnsi="Times New Roman"/>
                      <w:bCs/>
                      <w:color w:val="000000"/>
                      <w:kern w:val="0"/>
                      <w:sz w:val="20"/>
                      <w:szCs w:val="20"/>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聚酰胺6工程塑料</w:t>
                  </w:r>
                </w:p>
              </w:tc>
              <w:tc>
                <w:tcPr>
                  <w:tcW w:w="1559"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中国境内</w:t>
                  </w:r>
                </w:p>
              </w:tc>
              <w:tc>
                <w:tcPr>
                  <w:tcW w:w="2862" w:type="dxa"/>
                </w:tcPr>
                <w:p>
                  <w:pPr>
                    <w:numPr>
                      <w:ilvl w:val="0"/>
                      <w:numId w:val="0"/>
                    </w:numPr>
                    <w:adjustRightInd w:val="0"/>
                    <w:snapToGrid w:val="0"/>
                    <w:spacing w:line="340" w:lineRule="exact"/>
                    <w:ind w:firstLine="0"/>
                    <w:jc w:val="left"/>
                    <w:rPr>
                      <w:rFonts w:ascii="Times New Roman" w:hAnsi="Times New Roman"/>
                      <w:bCs/>
                      <w:color w:val="000000"/>
                      <w:kern w:val="0"/>
                      <w:sz w:val="20"/>
                      <w:szCs w:val="20"/>
                      <w:lang w:bidi="ar-AE"/>
                    </w:rPr>
                  </w:pPr>
                  <w:r>
                    <w:rPr>
                      <w:rFonts w:hint="eastAsia" w:ascii="Times New Roman" w:hAnsi="Times New Roman"/>
                      <w:kern w:val="0"/>
                      <w:sz w:val="22"/>
                      <w:szCs w:val="20"/>
                    </w:rPr>
                    <w:t>朗盛高性能材料业务：5-10</w:t>
                  </w:r>
                  <w:r>
                    <w:rPr>
                      <w:rFonts w:ascii="Times New Roman" w:hAnsi="Times New Roman"/>
                      <w:bCs/>
                      <w:color w:val="000000"/>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聚酰胺6.</w:t>
                  </w:r>
                  <w:r>
                    <w:rPr>
                      <w:rFonts w:ascii="Times New Roman" w:hAnsi="Times New Roman"/>
                      <w:color w:val="000000" w:themeColor="text1"/>
                      <w:kern w:val="0"/>
                      <w:sz w:val="22"/>
                      <w:szCs w:val="20"/>
                      <w14:textFill>
                        <w14:solidFill>
                          <w14:schemeClr w14:val="tx1"/>
                        </w14:solidFill>
                      </w14:textFill>
                    </w:rPr>
                    <w:t>6</w:t>
                  </w:r>
                  <w:r>
                    <w:rPr>
                      <w:rFonts w:hint="eastAsia" w:ascii="Times New Roman" w:hAnsi="Times New Roman"/>
                      <w:color w:val="000000" w:themeColor="text1"/>
                      <w:kern w:val="0"/>
                      <w:sz w:val="22"/>
                      <w:szCs w:val="20"/>
                      <w14:textFill>
                        <w14:solidFill>
                          <w14:schemeClr w14:val="tx1"/>
                        </w14:solidFill>
                      </w14:textFill>
                    </w:rPr>
                    <w:t>工程塑料</w:t>
                  </w:r>
                </w:p>
              </w:tc>
              <w:tc>
                <w:tcPr>
                  <w:tcW w:w="1559"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中国境内</w:t>
                  </w:r>
                </w:p>
              </w:tc>
              <w:tc>
                <w:tcPr>
                  <w:tcW w:w="2862" w:type="dxa"/>
                </w:tcPr>
                <w:p>
                  <w:pPr>
                    <w:numPr>
                      <w:ilvl w:val="0"/>
                      <w:numId w:val="0"/>
                    </w:numPr>
                    <w:adjustRightInd w:val="0"/>
                    <w:snapToGrid w:val="0"/>
                    <w:spacing w:line="340" w:lineRule="exact"/>
                    <w:ind w:firstLine="0"/>
                    <w:jc w:val="left"/>
                    <w:rPr>
                      <w:rFonts w:ascii="Times New Roman" w:hAnsi="Times New Roman"/>
                      <w:bCs/>
                      <w:color w:val="000000"/>
                      <w:kern w:val="0"/>
                      <w:sz w:val="20"/>
                      <w:szCs w:val="20"/>
                      <w:lang w:bidi="ar-AE"/>
                    </w:rPr>
                  </w:pPr>
                  <w:r>
                    <w:rPr>
                      <w:rFonts w:hint="eastAsia" w:ascii="Times New Roman" w:hAnsi="Times New Roman"/>
                      <w:kern w:val="0"/>
                      <w:sz w:val="22"/>
                      <w:szCs w:val="20"/>
                    </w:rPr>
                    <w:t>朗盛高性能材料业务：</w:t>
                  </w:r>
                  <w:r>
                    <w:rPr>
                      <w:rFonts w:ascii="Times New Roman" w:hAnsi="Times New Roman"/>
                      <w:bCs/>
                      <w:color w:val="000000"/>
                      <w:kern w:val="0"/>
                      <w:sz w:val="20"/>
                      <w:szCs w:val="20"/>
                    </w:rPr>
                    <w:t>0-5%</w:t>
                  </w:r>
                </w:p>
                <w:p>
                  <w:pPr>
                    <w:widowControl/>
                    <w:numPr>
                      <w:ilvl w:val="0"/>
                      <w:numId w:val="0"/>
                    </w:numPr>
                    <w:adjustRightInd w:val="0"/>
                    <w:snapToGrid w:val="0"/>
                    <w:spacing w:line="340" w:lineRule="exact"/>
                    <w:ind w:firstLine="0"/>
                    <w:jc w:val="left"/>
                    <w:rPr>
                      <w:rFonts w:ascii="Times New Roman" w:hAnsi="Times New Roman"/>
                      <w:bCs/>
                      <w:color w:val="000000"/>
                      <w:kern w:val="0"/>
                      <w:sz w:val="20"/>
                      <w:szCs w:val="20"/>
                      <w:lang w:bidi="ar-A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spacing w:val="-2"/>
                      <w:kern w:val="0"/>
                      <w:sz w:val="22"/>
                      <w:szCs w:val="20"/>
                    </w:rPr>
                    <w:t>聚对苯二甲酸丁二酯工程塑料</w:t>
                  </w:r>
                </w:p>
              </w:tc>
              <w:tc>
                <w:tcPr>
                  <w:tcW w:w="1559"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中国境内</w:t>
                  </w:r>
                </w:p>
              </w:tc>
              <w:tc>
                <w:tcPr>
                  <w:tcW w:w="2862" w:type="dxa"/>
                </w:tcPr>
                <w:p>
                  <w:pPr>
                    <w:numPr>
                      <w:ilvl w:val="0"/>
                      <w:numId w:val="0"/>
                    </w:numPr>
                    <w:adjustRightInd w:val="0"/>
                    <w:snapToGrid w:val="0"/>
                    <w:spacing w:line="340" w:lineRule="exact"/>
                    <w:ind w:firstLine="0"/>
                    <w:jc w:val="left"/>
                    <w:rPr>
                      <w:rFonts w:ascii="Times New Roman" w:hAnsi="Times New Roman"/>
                      <w:bCs/>
                      <w:color w:val="000000"/>
                      <w:kern w:val="0"/>
                      <w:sz w:val="20"/>
                      <w:szCs w:val="20"/>
                      <w:lang w:bidi="ar-AE"/>
                    </w:rPr>
                  </w:pPr>
                  <w:r>
                    <w:rPr>
                      <w:rFonts w:hint="eastAsia" w:ascii="Times New Roman" w:hAnsi="Times New Roman"/>
                      <w:kern w:val="0"/>
                      <w:sz w:val="22"/>
                      <w:szCs w:val="20"/>
                    </w:rPr>
                    <w:t>朗盛高性能材料业务：</w:t>
                  </w:r>
                  <w:r>
                    <w:rPr>
                      <w:rFonts w:ascii="Times New Roman" w:hAnsi="Times New Roman"/>
                      <w:bCs/>
                      <w:color w:val="000000"/>
                      <w:kern w:val="0"/>
                      <w:sz w:val="20"/>
                      <w:szCs w:val="20"/>
                    </w:rPr>
                    <w:t>0-5%</w:t>
                  </w:r>
                </w:p>
              </w:tc>
            </w:tr>
          </w:tbl>
          <w:p>
            <w:pPr>
              <w:rPr>
                <w:rFonts w:ascii="Times New Roman" w:hAnsi="Times New Roman"/>
                <w:color w:val="000000" w:themeColor="text1"/>
                <w:kern w:val="0"/>
                <w:sz w:val="22"/>
                <w14:textFill>
                  <w14:solidFill>
                    <w14:schemeClr w14:val="tx1"/>
                  </w14:solidFill>
                </w14:textFill>
              </w:rPr>
            </w:pPr>
          </w:p>
        </w:tc>
      </w:tr>
    </w:tbl>
    <w:p>
      <w:pPr>
        <w:rPr>
          <w:rFonts w:ascii="Times New Roman" w:hAnsi="Times New Roman"/>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Times">
    <w:altName w:val="DejaVu Sans"/>
    <w:panose1 w:val="02020603050405020304"/>
    <w:charset w:val="00"/>
    <w:family w:val="roman"/>
    <w:pitch w:val="default"/>
    <w:sig w:usb0="00000000" w:usb1="00000000" w:usb2="00000009" w:usb3="00000000" w:csb0="000001FF" w:csb1="00000000"/>
  </w:font>
  <w:font w:name="微软雅黑">
    <w:panose1 w:val="020B0503020204020204"/>
    <w:charset w:val="86"/>
    <w:family w:val="auto"/>
    <w:pitch w:val="default"/>
    <w:sig w:usb0="80000287" w:usb1="2A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852783"/>
    <w:multiLevelType w:val="multilevel"/>
    <w:tmpl w:val="46852783"/>
    <w:lvl w:ilvl="0" w:tentative="0">
      <w:start w:val="1"/>
      <w:numFmt w:val="decimal"/>
      <w:lvlText w:val="(%1)"/>
      <w:lvlJc w:val="left"/>
      <w:pPr>
        <w:ind w:left="2563" w:hanging="720"/>
      </w:pPr>
      <w:rPr>
        <w:b w:val="0"/>
        <w:bCs w:val="0"/>
        <w:sz w:val="20"/>
      </w:rPr>
    </w:lvl>
    <w:lvl w:ilvl="1" w:tentative="0">
      <w:start w:val="1"/>
      <w:numFmt w:val="none"/>
      <w:lvlText w:val="%2."/>
      <w:lvlJc w:val="left"/>
      <w:pPr>
        <w:ind w:left="4723" w:hanging="360"/>
      </w:pPr>
    </w:lvl>
    <w:lvl w:ilvl="2" w:tentative="0">
      <w:start w:val="1"/>
      <w:numFmt w:val="none"/>
      <w:lvlText w:val="%3."/>
      <w:lvlJc w:val="right"/>
      <w:pPr>
        <w:ind w:left="5443" w:hanging="180"/>
      </w:pPr>
    </w:lvl>
    <w:lvl w:ilvl="3" w:tentative="0">
      <w:start w:val="1"/>
      <w:numFmt w:val="none"/>
      <w:lvlText w:val="%4."/>
      <w:lvlJc w:val="left"/>
      <w:pPr>
        <w:ind w:left="6163" w:hanging="360"/>
      </w:pPr>
    </w:lvl>
    <w:lvl w:ilvl="4" w:tentative="0">
      <w:start w:val="1"/>
      <w:numFmt w:val="lowerLetter"/>
      <w:lvlText w:val="%5."/>
      <w:lvlJc w:val="left"/>
      <w:pPr>
        <w:ind w:left="6883" w:hanging="360"/>
      </w:pPr>
    </w:lvl>
    <w:lvl w:ilvl="5" w:tentative="0">
      <w:start w:val="1"/>
      <w:numFmt w:val="lowerRoman"/>
      <w:lvlText w:val="%6."/>
      <w:lvlJc w:val="right"/>
      <w:pPr>
        <w:ind w:left="7603" w:hanging="180"/>
      </w:pPr>
    </w:lvl>
    <w:lvl w:ilvl="6" w:tentative="0">
      <w:start w:val="1"/>
      <w:numFmt w:val="decimal"/>
      <w:lvlText w:val="%7."/>
      <w:lvlJc w:val="left"/>
      <w:pPr>
        <w:ind w:left="8323" w:hanging="360"/>
      </w:pPr>
    </w:lvl>
    <w:lvl w:ilvl="7" w:tentative="0">
      <w:start w:val="1"/>
      <w:numFmt w:val="lowerLetter"/>
      <w:lvlText w:val="%8."/>
      <w:lvlJc w:val="left"/>
      <w:pPr>
        <w:ind w:left="9043" w:hanging="360"/>
      </w:pPr>
    </w:lvl>
    <w:lvl w:ilvl="8" w:tentative="0">
      <w:start w:val="1"/>
      <w:numFmt w:val="lowerRoman"/>
      <w:lvlText w:val="%9."/>
      <w:lvlJc w:val="right"/>
      <w:pPr>
        <w:ind w:left="9763"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removePersonalInformation/>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22441"/>
    <w:rsid w:val="00037065"/>
    <w:rsid w:val="00050BF4"/>
    <w:rsid w:val="00067865"/>
    <w:rsid w:val="00082B3E"/>
    <w:rsid w:val="00087411"/>
    <w:rsid w:val="000B7A5A"/>
    <w:rsid w:val="000D0F14"/>
    <w:rsid w:val="000D35D8"/>
    <w:rsid w:val="000D650F"/>
    <w:rsid w:val="000D7EBA"/>
    <w:rsid w:val="000E2E28"/>
    <w:rsid w:val="000E34B9"/>
    <w:rsid w:val="0010048D"/>
    <w:rsid w:val="001031AB"/>
    <w:rsid w:val="001164CD"/>
    <w:rsid w:val="00122E7F"/>
    <w:rsid w:val="001461BB"/>
    <w:rsid w:val="00155717"/>
    <w:rsid w:val="001837A3"/>
    <w:rsid w:val="001C692C"/>
    <w:rsid w:val="001E4187"/>
    <w:rsid w:val="00227BEF"/>
    <w:rsid w:val="00294AC4"/>
    <w:rsid w:val="002A3C30"/>
    <w:rsid w:val="002A4976"/>
    <w:rsid w:val="002B7EA6"/>
    <w:rsid w:val="002D6FF0"/>
    <w:rsid w:val="0031643E"/>
    <w:rsid w:val="00347CDD"/>
    <w:rsid w:val="00351604"/>
    <w:rsid w:val="00375E19"/>
    <w:rsid w:val="003851AC"/>
    <w:rsid w:val="003963DC"/>
    <w:rsid w:val="003A1A0D"/>
    <w:rsid w:val="003A528C"/>
    <w:rsid w:val="003A5E04"/>
    <w:rsid w:val="003B28EE"/>
    <w:rsid w:val="003C0AEB"/>
    <w:rsid w:val="003C0F31"/>
    <w:rsid w:val="003D6C64"/>
    <w:rsid w:val="003E3EA1"/>
    <w:rsid w:val="004009B7"/>
    <w:rsid w:val="00411781"/>
    <w:rsid w:val="004118DF"/>
    <w:rsid w:val="00446902"/>
    <w:rsid w:val="00482832"/>
    <w:rsid w:val="0048349A"/>
    <w:rsid w:val="0049387F"/>
    <w:rsid w:val="00496055"/>
    <w:rsid w:val="004B510B"/>
    <w:rsid w:val="004C3993"/>
    <w:rsid w:val="004C48D8"/>
    <w:rsid w:val="004C5266"/>
    <w:rsid w:val="004E6C7C"/>
    <w:rsid w:val="004F0673"/>
    <w:rsid w:val="004F7688"/>
    <w:rsid w:val="00500953"/>
    <w:rsid w:val="00501CED"/>
    <w:rsid w:val="005022BA"/>
    <w:rsid w:val="00504009"/>
    <w:rsid w:val="00533163"/>
    <w:rsid w:val="00545B2E"/>
    <w:rsid w:val="00554B02"/>
    <w:rsid w:val="005632C0"/>
    <w:rsid w:val="005703C2"/>
    <w:rsid w:val="00572E55"/>
    <w:rsid w:val="005835A4"/>
    <w:rsid w:val="005908B9"/>
    <w:rsid w:val="005B2151"/>
    <w:rsid w:val="005E7B68"/>
    <w:rsid w:val="005F5091"/>
    <w:rsid w:val="0060331B"/>
    <w:rsid w:val="006467D8"/>
    <w:rsid w:val="00651D33"/>
    <w:rsid w:val="00652E2B"/>
    <w:rsid w:val="006808AE"/>
    <w:rsid w:val="00692798"/>
    <w:rsid w:val="006A531B"/>
    <w:rsid w:val="006B3937"/>
    <w:rsid w:val="006F4C28"/>
    <w:rsid w:val="006F7693"/>
    <w:rsid w:val="00710140"/>
    <w:rsid w:val="0071220D"/>
    <w:rsid w:val="00717A11"/>
    <w:rsid w:val="00752DEE"/>
    <w:rsid w:val="00767409"/>
    <w:rsid w:val="00770D7C"/>
    <w:rsid w:val="00787B1B"/>
    <w:rsid w:val="00791095"/>
    <w:rsid w:val="00792C21"/>
    <w:rsid w:val="007A2BC9"/>
    <w:rsid w:val="007A36B6"/>
    <w:rsid w:val="007B6071"/>
    <w:rsid w:val="007C0D5B"/>
    <w:rsid w:val="007D12C0"/>
    <w:rsid w:val="007E11AE"/>
    <w:rsid w:val="007F2275"/>
    <w:rsid w:val="00806960"/>
    <w:rsid w:val="00815EDA"/>
    <w:rsid w:val="0089067D"/>
    <w:rsid w:val="008A3A80"/>
    <w:rsid w:val="008F6490"/>
    <w:rsid w:val="0090012E"/>
    <w:rsid w:val="00907DA5"/>
    <w:rsid w:val="0091341E"/>
    <w:rsid w:val="00915F0F"/>
    <w:rsid w:val="009377AF"/>
    <w:rsid w:val="009532DF"/>
    <w:rsid w:val="00971615"/>
    <w:rsid w:val="00997019"/>
    <w:rsid w:val="009A5029"/>
    <w:rsid w:val="009A67F9"/>
    <w:rsid w:val="009B2358"/>
    <w:rsid w:val="009C2A2D"/>
    <w:rsid w:val="009D38D5"/>
    <w:rsid w:val="009E0F5C"/>
    <w:rsid w:val="00A53F26"/>
    <w:rsid w:val="00A7507C"/>
    <w:rsid w:val="00A92FE5"/>
    <w:rsid w:val="00AA0CC5"/>
    <w:rsid w:val="00AA5428"/>
    <w:rsid w:val="00AB04BF"/>
    <w:rsid w:val="00AB6D6F"/>
    <w:rsid w:val="00B10DBD"/>
    <w:rsid w:val="00B16AFE"/>
    <w:rsid w:val="00B20888"/>
    <w:rsid w:val="00B44662"/>
    <w:rsid w:val="00B6499A"/>
    <w:rsid w:val="00B65DD5"/>
    <w:rsid w:val="00B95957"/>
    <w:rsid w:val="00BA0162"/>
    <w:rsid w:val="00BA436E"/>
    <w:rsid w:val="00BB4A0C"/>
    <w:rsid w:val="00BD10B6"/>
    <w:rsid w:val="00BD2E2C"/>
    <w:rsid w:val="00C04D1D"/>
    <w:rsid w:val="00C07076"/>
    <w:rsid w:val="00C75113"/>
    <w:rsid w:val="00C81116"/>
    <w:rsid w:val="00C830AC"/>
    <w:rsid w:val="00C92C3E"/>
    <w:rsid w:val="00C93E8B"/>
    <w:rsid w:val="00CB00DF"/>
    <w:rsid w:val="00CB07DC"/>
    <w:rsid w:val="00CB2E54"/>
    <w:rsid w:val="00CD6E31"/>
    <w:rsid w:val="00D14522"/>
    <w:rsid w:val="00D1722B"/>
    <w:rsid w:val="00D43EC3"/>
    <w:rsid w:val="00D73C72"/>
    <w:rsid w:val="00DB155D"/>
    <w:rsid w:val="00DC073B"/>
    <w:rsid w:val="00DC558F"/>
    <w:rsid w:val="00E0592B"/>
    <w:rsid w:val="00E05B2E"/>
    <w:rsid w:val="00E31738"/>
    <w:rsid w:val="00E372F7"/>
    <w:rsid w:val="00E8192E"/>
    <w:rsid w:val="00E86786"/>
    <w:rsid w:val="00E9040C"/>
    <w:rsid w:val="00E93D24"/>
    <w:rsid w:val="00EC5A0B"/>
    <w:rsid w:val="00ED2F80"/>
    <w:rsid w:val="00F1624E"/>
    <w:rsid w:val="00F2497C"/>
    <w:rsid w:val="00F32F8A"/>
    <w:rsid w:val="00F336FC"/>
    <w:rsid w:val="00F61028"/>
    <w:rsid w:val="00F62C84"/>
    <w:rsid w:val="00F642B7"/>
    <w:rsid w:val="00F66759"/>
    <w:rsid w:val="00F66970"/>
    <w:rsid w:val="00F810AA"/>
    <w:rsid w:val="00F82FCA"/>
    <w:rsid w:val="00F96CA5"/>
    <w:rsid w:val="00FA660D"/>
    <w:rsid w:val="00FB43EC"/>
    <w:rsid w:val="00FB6B40"/>
    <w:rsid w:val="00FC6E01"/>
    <w:rsid w:val="00FE2ACB"/>
    <w:rsid w:val="00FE3E0F"/>
    <w:rsid w:val="F7F1CEE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semiHidden="0"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sz w:val="18"/>
      <w:szCs w:val="18"/>
    </w:rPr>
  </w:style>
  <w:style w:type="paragraph" w:styleId="3">
    <w:name w:val="footer"/>
    <w:basedOn w:val="1"/>
    <w:link w:val="13"/>
    <w:unhideWhenUsed/>
    <w:qFormat/>
    <w:uiPriority w:val="99"/>
    <w:pPr>
      <w:tabs>
        <w:tab w:val="center" w:pos="4153"/>
        <w:tab w:val="right" w:pos="8306"/>
      </w:tabs>
    </w:pPr>
  </w:style>
  <w:style w:type="paragraph" w:styleId="4">
    <w:name w:val="header"/>
    <w:basedOn w:val="1"/>
    <w:link w:val="12"/>
    <w:unhideWhenUsed/>
    <w:qFormat/>
    <w:uiPriority w:val="99"/>
    <w:pPr>
      <w:tabs>
        <w:tab w:val="center" w:pos="4153"/>
        <w:tab w:val="right" w:pos="8306"/>
      </w:tabs>
    </w:pPr>
  </w:style>
  <w:style w:type="paragraph" w:styleId="5">
    <w:name w:val="footnote text"/>
    <w:basedOn w:val="1"/>
    <w:link w:val="15"/>
    <w:unhideWhenUsed/>
    <w:qFormat/>
    <w:uiPriority w:val="99"/>
    <w:pPr>
      <w:snapToGrid w:val="0"/>
      <w:jc w:val="left"/>
    </w:pPr>
    <w:rPr>
      <w:rFonts w:ascii="Times New Roman" w:hAnsi="Times New Roman"/>
      <w:sz w:val="18"/>
      <w:szCs w:val="18"/>
    </w:rPr>
  </w:style>
  <w:style w:type="table" w:styleId="7">
    <w:name w:val="Table Grid"/>
    <w:basedOn w:val="6"/>
    <w:qFormat/>
    <w:uiPriority w:val="0"/>
    <w:pPr>
      <w:numPr>
        <w:numId w:val="1"/>
      </w:numPr>
      <w:ind w:firstLine="0"/>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unhideWhenUsed/>
    <w:qFormat/>
    <w:uiPriority w:val="0"/>
    <w:rPr>
      <w:color w:val="0563C1" w:themeColor="hyperlink"/>
      <w:u w:val="single"/>
      <w14:textFill>
        <w14:solidFill>
          <w14:schemeClr w14:val="hlink"/>
        </w14:solidFill>
      </w14:textFill>
    </w:rPr>
  </w:style>
  <w:style w:type="character" w:styleId="10">
    <w:name w:val="annotation reference"/>
    <w:basedOn w:val="8"/>
    <w:unhideWhenUsed/>
    <w:qFormat/>
    <w:uiPriority w:val="99"/>
    <w:rPr>
      <w:sz w:val="21"/>
      <w:szCs w:val="21"/>
    </w:rPr>
  </w:style>
  <w:style w:type="character" w:styleId="11">
    <w:name w:val="footnote reference"/>
    <w:unhideWhenUsed/>
    <w:qFormat/>
    <w:uiPriority w:val="0"/>
    <w:rPr>
      <w:vertAlign w:val="superscript"/>
    </w:rPr>
  </w:style>
  <w:style w:type="character" w:customStyle="1" w:styleId="12">
    <w:name w:val="Header Char"/>
    <w:basedOn w:val="8"/>
    <w:link w:val="4"/>
    <w:qFormat/>
    <w:uiPriority w:val="99"/>
    <w:rPr>
      <w:rFonts w:ascii="Calibri" w:hAnsi="Calibri" w:eastAsia="宋体" w:cs="Times New Roman"/>
    </w:rPr>
  </w:style>
  <w:style w:type="character" w:customStyle="1" w:styleId="13">
    <w:name w:val="Footer Char"/>
    <w:basedOn w:val="8"/>
    <w:link w:val="3"/>
    <w:qFormat/>
    <w:uiPriority w:val="99"/>
    <w:rPr>
      <w:rFonts w:ascii="Calibri" w:hAnsi="Calibri" w:eastAsia="宋体" w:cs="Times New Roman"/>
    </w:rPr>
  </w:style>
  <w:style w:type="character" w:customStyle="1" w:styleId="14">
    <w:name w:val="Balloon Text Char"/>
    <w:basedOn w:val="8"/>
    <w:link w:val="2"/>
    <w:semiHidden/>
    <w:qFormat/>
    <w:uiPriority w:val="99"/>
    <w:rPr>
      <w:rFonts w:ascii="Calibri" w:hAnsi="Calibri" w:eastAsia="宋体" w:cs="Times New Roman"/>
      <w:sz w:val="18"/>
      <w:szCs w:val="18"/>
    </w:rPr>
  </w:style>
  <w:style w:type="character" w:customStyle="1" w:styleId="15">
    <w:name w:val="Footnote Text Char"/>
    <w:basedOn w:val="8"/>
    <w:link w:val="5"/>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534</Words>
  <Characters>561</Characters>
  <Lines>46</Lines>
  <Paragraphs>42</Paragraphs>
  <TotalTime>3</TotalTime>
  <ScaleCrop>false</ScaleCrop>
  <LinksUpToDate>false</LinksUpToDate>
  <CharactersWithSpaces>1053</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2022-07-27T17:01:00Z</dcterms:created>
  <dcterms:modified xsi:type="dcterms:W3CDTF">2022-08-03T14:33:49Z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2e67a54-274b-43d7-8098-b3ba5f50e576_Enabled">
    <vt:lpwstr>true</vt:lpwstr>
  </property>
  <property fmtid="{D5CDD505-2E9C-101B-9397-08002B2CF9AE}" pid="3" name="MSIP_Label_42e67a54-274b-43d7-8098-b3ba5f50e576_SetDate">
    <vt:lpwstr>2022-04-27T03:12:02Z</vt:lpwstr>
  </property>
  <property fmtid="{D5CDD505-2E9C-101B-9397-08002B2CF9AE}" pid="4" name="MSIP_Label_42e67a54-274b-43d7-8098-b3ba5f50e576_Method">
    <vt:lpwstr>Standard</vt:lpwstr>
  </property>
  <property fmtid="{D5CDD505-2E9C-101B-9397-08002B2CF9AE}" pid="5" name="MSIP_Label_42e67a54-274b-43d7-8098-b3ba5f50e576_Name">
    <vt:lpwstr>42e67a54-274b-43d7-8098-b3ba5f50e576</vt:lpwstr>
  </property>
  <property fmtid="{D5CDD505-2E9C-101B-9397-08002B2CF9AE}" pid="6" name="MSIP_Label_42e67a54-274b-43d7-8098-b3ba5f50e576_SiteId">
    <vt:lpwstr>7f0b44d2-04f8-4672-bf5d-4676796468a3</vt:lpwstr>
  </property>
  <property fmtid="{D5CDD505-2E9C-101B-9397-08002B2CF9AE}" pid="7" name="MSIP_Label_42e67a54-274b-43d7-8098-b3ba5f50e576_ActionId">
    <vt:lpwstr>8d082ebb-4aaa-4f66-a2d1-23906e2aef0d</vt:lpwstr>
  </property>
  <property fmtid="{D5CDD505-2E9C-101B-9397-08002B2CF9AE}" pid="8" name="MSIP_Label_42e67a54-274b-43d7-8098-b3ba5f50e576_ContentBits">
    <vt:lpwstr>0</vt:lpwstr>
  </property>
  <property fmtid="{D5CDD505-2E9C-101B-9397-08002B2CF9AE}" pid="9" name="Client">
    <vt:lpwstr>0036831</vt:lpwstr>
  </property>
  <property fmtid="{D5CDD505-2E9C-101B-9397-08002B2CF9AE}" pid="10" name="Matter">
    <vt:lpwstr>0000055</vt:lpwstr>
  </property>
  <property fmtid="{D5CDD505-2E9C-101B-9397-08002B2CF9AE}" pid="11" name="cpDocRef">
    <vt:lpwstr>EUO3: 2009356939.1</vt:lpwstr>
  </property>
  <property fmtid="{D5CDD505-2E9C-101B-9397-08002B2CF9AE}" pid="12" name="cpClientMatter">
    <vt:lpwstr>0036831-0000055</vt:lpwstr>
  </property>
  <property fmtid="{D5CDD505-2E9C-101B-9397-08002B2CF9AE}" pid="13" name="cpCombinedRef">
    <vt:lpwstr>0036831-0000055 EUO3: 2009356939.1</vt:lpwstr>
  </property>
  <property fmtid="{D5CDD505-2E9C-101B-9397-08002B2CF9AE}" pid="14" name="KSOProductBuildVer">
    <vt:lpwstr>2052-11.8.2.9695</vt:lpwstr>
  </property>
</Properties>
</file>