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36040">
      <w:pPr>
        <w:keepNext w:val="0"/>
        <w:keepLines w:val="0"/>
        <w:widowControl/>
        <w:suppressLineNumbers w:val="0"/>
        <w:spacing w:before="0" w:beforeAutospacing="0" w:after="240" w:afterAutospacing="0"/>
        <w:ind w:left="0" w:right="0"/>
        <w:jc w:val="center"/>
        <w:rPr>
          <w:rFonts w:hint="default" w:ascii="Times New Roman" w:hAnsi="Times New Roman" w:eastAsia="方正小标宋简体" w:cs="Times New Roman"/>
          <w:kern w:val="0"/>
          <w:sz w:val="44"/>
          <w:szCs w:val="44"/>
          <w:lang w:val="en-GB" w:eastAsia="zh-CN" w:bidi="ar"/>
        </w:rPr>
      </w:pPr>
      <w:bookmarkStart w:id="2" w:name="_GoBack"/>
      <w:bookmarkEnd w:id="2"/>
      <w:r>
        <w:rPr>
          <w:rFonts w:hint="default" w:ascii="Times New Roman" w:hAnsi="Times New Roman" w:eastAsia="方正小标宋简体" w:cs="Times New Roman"/>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南方电网数字电网集团有限公司与广州恒运企业集团股份有限公司等经营者新设合营企业案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ind w:firstLine="480" w:firstLineChars="200"/>
              <w:rPr>
                <w:rFonts w:hint="default" w:ascii="Times New Roman" w:hAnsi="Times New Roman" w:cs="Times New Roman"/>
                <w:sz w:val="24"/>
              </w:rPr>
            </w:pPr>
            <w:r>
              <w:rPr>
                <w:rFonts w:hint="default" w:ascii="Times New Roman" w:hAnsi="Times New Roman" w:cs="Times New Roman"/>
                <w:sz w:val="24"/>
              </w:rPr>
              <w:t>南方电网数字电网集团有限公司（“数字集团”）与广州恒运企业集团股份有限公司（“广州恒运”）、广东亿迅科技有限公司（“广东亿迅”）签署协议，</w:t>
            </w:r>
            <w:r>
              <w:rPr>
                <w:rFonts w:hint="default" w:ascii="Times New Roman" w:hAnsi="Times New Roman" w:cs="Times New Roman"/>
                <w:sz w:val="24"/>
                <w:lang w:eastAsia="zh-CN"/>
              </w:rPr>
              <w:t>拟</w:t>
            </w:r>
            <w:r>
              <w:rPr>
                <w:rFonts w:hint="default" w:ascii="Times New Roman" w:hAnsi="Times New Roman" w:cs="Times New Roman"/>
                <w:sz w:val="24"/>
              </w:rPr>
              <w:t>共同出资新设合营企业。合营企业拟从事算力租赁、算力运营服务等业务。交易后，数字集团、广州恒运、广东亿迅分别持有合营企业51%、34%、5%的股权，三方共同控制合营企业。</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7"/>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w:t>
            </w:r>
            <w:r>
              <w:rPr>
                <w:rFonts w:hint="default" w:ascii="Times New Roman" w:hAnsi="Times New Roman" w:cs="Times New Roman"/>
                <w:sz w:val="24"/>
                <w:lang w:eastAsia="zh-CN"/>
              </w:rPr>
              <w:t>数字集团</w:t>
            </w:r>
          </w:p>
        </w:tc>
        <w:tc>
          <w:tcPr>
            <w:tcW w:w="6224" w:type="dxa"/>
            <w:vAlign w:val="center"/>
          </w:tcPr>
          <w:p w14:paraId="5788DBF4">
            <w:pPr>
              <w:pStyle w:val="7"/>
              <w:widowControl/>
              <w:adjustRightInd w:val="0"/>
              <w:snapToGrid w:val="0"/>
              <w:spacing w:after="0"/>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数字集团于2021年12月3日成立于广东省广州市，主要业务为软件开发与信息技术服务。</w:t>
            </w:r>
          </w:p>
          <w:p w14:paraId="0F314EF4">
            <w:pPr>
              <w:pStyle w:val="7"/>
              <w:widowControl/>
              <w:adjustRightInd w:val="0"/>
              <w:snapToGrid w:val="0"/>
              <w:spacing w:after="0"/>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数字集团</w:t>
            </w:r>
            <w:r>
              <w:rPr>
                <w:rFonts w:hint="default" w:ascii="Times New Roman" w:hAnsi="Times New Roman" w:eastAsia="宋体" w:cs="Times New Roman"/>
                <w:kern w:val="2"/>
                <w:sz w:val="24"/>
                <w:szCs w:val="24"/>
                <w:lang w:val="en-US" w:eastAsia="zh-CN" w:bidi="ar-SA"/>
              </w:rPr>
              <w:t>最终控制人为中国南方电网有限责任公司，主要从事两广、云贵、海南南方五省区电力供应、区域电网管理、电力交易与调度业务。</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2广州恒运</w:t>
            </w:r>
          </w:p>
        </w:tc>
        <w:tc>
          <w:tcPr>
            <w:tcW w:w="6224" w:type="dxa"/>
            <w:vAlign w:val="center"/>
          </w:tcPr>
          <w:p w14:paraId="00FA6865">
            <w:pPr>
              <w:pStyle w:val="7"/>
              <w:widowControl/>
              <w:adjustRightInd w:val="0"/>
              <w:snapToGrid w:val="0"/>
              <w:spacing w:after="0"/>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广州恒运于1992年11月30日成立于广东省广州市，主要从事电力、热力的生产和销售。</w:t>
            </w:r>
          </w:p>
          <w:p w14:paraId="50E378A8">
            <w:pPr>
              <w:pStyle w:val="7"/>
              <w:widowControl/>
              <w:adjustRightInd w:val="0"/>
              <w:snapToGrid w:val="0"/>
              <w:spacing w:after="0"/>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广州恒运最终控制人为广州开发区控股集团有限公司，主要业务领域包括科技金融服务、科技战略投资、科技园区运营。</w:t>
            </w:r>
          </w:p>
        </w:tc>
      </w:tr>
      <w:tr w14:paraId="39D6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623D3EEC">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5F80C967">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3.广东亿迅</w:t>
            </w:r>
          </w:p>
        </w:tc>
        <w:tc>
          <w:tcPr>
            <w:tcW w:w="6224" w:type="dxa"/>
            <w:vAlign w:val="center"/>
          </w:tcPr>
          <w:p w14:paraId="6B549D48">
            <w:pPr>
              <w:pStyle w:val="7"/>
              <w:widowControl/>
              <w:adjustRightInd w:val="0"/>
              <w:snapToGrid w:val="0"/>
              <w:spacing w:after="0"/>
              <w:ind w:firstLine="480" w:firstLineChars="200"/>
              <w:rPr>
                <w:rFonts w:hint="default" w:ascii="Times New Roman" w:hAnsi="Times New Roman" w:cs="Times New Roman" w:eastAsiaTheme="minorEastAsia"/>
                <w:sz w:val="24"/>
              </w:rPr>
            </w:pPr>
            <w:bookmarkStart w:id="0" w:name="_Hlk230773565"/>
            <w:bookmarkStart w:id="1" w:name="_Hlk230772543"/>
            <w:r>
              <w:rPr>
                <w:rFonts w:hint="default" w:ascii="Times New Roman" w:hAnsi="Times New Roman" w:cs="Times New Roman" w:eastAsiaTheme="minorEastAsia"/>
                <w:sz w:val="24"/>
              </w:rPr>
              <w:t>广东亿迅于2001年11月20日成立于广东省广州市，主要为电信运营商、政府部门及企事业单位提供综合数字化解决方案与信息化服务。</w:t>
            </w:r>
          </w:p>
          <w:p w14:paraId="7EDB299F">
            <w:pPr>
              <w:pStyle w:val="7"/>
              <w:widowControl/>
              <w:adjustRightInd w:val="0"/>
              <w:snapToGrid w:val="0"/>
              <w:spacing w:after="0"/>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eastAsiaTheme="minorEastAsia"/>
                <w:sz w:val="24"/>
                <w:lang w:eastAsia="zh-CN"/>
              </w:rPr>
              <w:t>广东亿迅</w:t>
            </w:r>
            <w:r>
              <w:rPr>
                <w:rFonts w:hint="default" w:ascii="Times New Roman" w:hAnsi="Times New Roman" w:cs="Times New Roman" w:eastAsiaTheme="minorEastAsia"/>
                <w:sz w:val="24"/>
              </w:rPr>
              <w:t>最终控制人为中国电信集团有限公司，主要业务是提供基础电信服务，以及云计算、大数据、物联网等综合智能信息服务</w:t>
            </w:r>
            <w:bookmarkEnd w:id="0"/>
            <w:r>
              <w:rPr>
                <w:rFonts w:hint="default" w:ascii="Times New Roman" w:hAnsi="Times New Roman" w:cs="Times New Roman" w:eastAsiaTheme="minorEastAsia"/>
                <w:sz w:val="24"/>
              </w:rPr>
              <w:t>。</w:t>
            </w:r>
            <w:bookmarkEnd w:id="1"/>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1、在同一相关市场，参与集中的经营者所占的市场份额之和小于15%。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2、在上下游市场，参与集中的经营者所占的市场份额均小于25%。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3、不在同一相关市场、也不存在上下游关系的参与集中的经营者，在与交易有关的每个市场所占的市场份额均小于25%。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1" w:hRule="atLeast"/>
        </w:trPr>
        <w:tc>
          <w:tcPr>
            <w:tcW w:w="1940" w:type="dxa"/>
            <w:shd w:val="clear" w:color="auto" w:fill="D9D9D9"/>
            <w:vAlign w:val="center"/>
          </w:tcPr>
          <w:p w14:paraId="58FEA76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01F02419">
            <w:pPr>
              <w:pStyle w:val="7"/>
              <w:adjustRightInd w:val="0"/>
              <w:snapToGrid w:val="0"/>
              <w:spacing w:after="0"/>
              <w:rPr>
                <w:rFonts w:hint="default" w:ascii="Times New Roman" w:hAnsi="Times New Roman" w:cs="Times New Roman"/>
                <w:bCs/>
                <w:color w:val="000000"/>
                <w:lang w:val="en-US" w:eastAsia="zh-CN"/>
              </w:rPr>
            </w:pPr>
            <w:r>
              <w:rPr>
                <w:rFonts w:hint="default" w:ascii="Times New Roman" w:hAnsi="Times New Roman" w:cs="Times New Roman"/>
                <w:b/>
                <w:color w:val="000000"/>
                <w:sz w:val="24"/>
                <w:szCs w:val="24"/>
                <w:lang w:eastAsia="zh-CN"/>
              </w:rPr>
              <w:t>横向重叠：</w:t>
            </w:r>
          </w:p>
          <w:tbl>
            <w:tblPr>
              <w:tblStyle w:val="12"/>
              <w:tblW w:w="71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5"/>
              <w:gridCol w:w="1843"/>
              <w:gridCol w:w="2919"/>
            </w:tblGrid>
            <w:tr w14:paraId="669B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355" w:type="dxa"/>
                  <w:noWrap w:val="0"/>
                  <w:vAlign w:val="center"/>
                </w:tcPr>
                <w:p w14:paraId="6A58E551">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相关商品市场</w:t>
                  </w:r>
                </w:p>
              </w:tc>
              <w:tc>
                <w:tcPr>
                  <w:tcW w:w="1843" w:type="dxa"/>
                  <w:noWrap w:val="0"/>
                  <w:vAlign w:val="center"/>
                </w:tcPr>
                <w:p w14:paraId="7562E211">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相关地域市场</w:t>
                  </w:r>
                </w:p>
              </w:tc>
              <w:tc>
                <w:tcPr>
                  <w:tcW w:w="2919" w:type="dxa"/>
                  <w:noWrap w:val="0"/>
                  <w:vAlign w:val="center"/>
                </w:tcPr>
                <w:p w14:paraId="1D40B68D">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2025年市场份额</w:t>
                  </w:r>
                </w:p>
              </w:tc>
            </w:tr>
            <w:tr w14:paraId="5D0D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310CE5CA">
                  <w:pPr>
                    <w:pStyle w:val="23"/>
                    <w:kinsoku/>
                    <w:wordWrap w:val="0"/>
                    <w:spacing w:after="0"/>
                    <w:jc w:val="both"/>
                    <w:rPr>
                      <w:rFonts w:hint="default" w:ascii="Times New Roman" w:hAnsi="Times New Roman" w:eastAsia="宋体" w:cs="Times New Roman"/>
                      <w:spacing w:val="9"/>
                      <w:lang w:eastAsia="zh-CN"/>
                    </w:rPr>
                  </w:pPr>
                  <w:r>
                    <w:rPr>
                      <w:rFonts w:hint="default" w:ascii="Times New Roman" w:hAnsi="Times New Roman" w:eastAsia="宋体" w:cs="Times New Roman"/>
                      <w:spacing w:val="9"/>
                      <w:lang w:val="en-US" w:eastAsia="zh-CN"/>
                    </w:rPr>
                    <w:t>算力租赁市场</w:t>
                  </w:r>
                </w:p>
              </w:tc>
              <w:tc>
                <w:tcPr>
                  <w:tcW w:w="1843" w:type="dxa"/>
                  <w:noWrap w:val="0"/>
                  <w:vAlign w:val="center"/>
                </w:tcPr>
                <w:p w14:paraId="00C66E67">
                  <w:pPr>
                    <w:pStyle w:val="23"/>
                    <w:kinsoku/>
                    <w:wordWrap w:val="0"/>
                    <w:spacing w:after="0"/>
                    <w:jc w:val="both"/>
                    <w:rPr>
                      <w:rFonts w:hint="default" w:ascii="Times New Roman" w:hAnsi="Times New Roman" w:eastAsia="宋体" w:cs="Times New Roman"/>
                      <w:spacing w:val="9"/>
                      <w:lang w:eastAsia="zh-CN"/>
                    </w:rPr>
                  </w:pPr>
                  <w:r>
                    <w:rPr>
                      <w:rFonts w:hint="default" w:ascii="Times New Roman" w:hAnsi="Times New Roman" w:eastAsia="宋体" w:cs="Times New Roman"/>
                      <w:spacing w:val="9"/>
                      <w:lang w:eastAsia="zh-CN"/>
                    </w:rPr>
                    <w:t>中国境内</w:t>
                  </w:r>
                </w:p>
              </w:tc>
              <w:tc>
                <w:tcPr>
                  <w:tcW w:w="2919" w:type="dxa"/>
                  <w:noWrap w:val="0"/>
                  <w:vAlign w:val="center"/>
                </w:tcPr>
                <w:p w14:paraId="75A4C991">
                  <w:pPr>
                    <w:pStyle w:val="23"/>
                    <w:kinsoku/>
                    <w:wordWrap w:val="0"/>
                    <w:spacing w:after="0"/>
                    <w:jc w:val="both"/>
                    <w:rPr>
                      <w:rFonts w:hint="default" w:ascii="Times New Roman" w:hAnsi="Times New Roman" w:eastAsia="宋体" w:cs="Times New Roman"/>
                      <w:spacing w:val="9"/>
                      <w:lang w:val="en-US" w:eastAsia="zh-CN"/>
                    </w:rPr>
                  </w:pPr>
                  <w:r>
                    <w:rPr>
                      <w:rFonts w:hint="default" w:ascii="Times New Roman" w:hAnsi="Times New Roman" w:eastAsia="宋体" w:cs="Times New Roman"/>
                      <w:spacing w:val="9"/>
                      <w:lang w:val="en-US" w:eastAsia="zh-CN"/>
                    </w:rPr>
                    <w:t>数字集团：0-5%</w:t>
                  </w:r>
                </w:p>
                <w:p w14:paraId="2DEA5BEF">
                  <w:pPr>
                    <w:pStyle w:val="23"/>
                    <w:kinsoku/>
                    <w:wordWrap w:val="0"/>
                    <w:spacing w:after="0"/>
                    <w:jc w:val="both"/>
                    <w:rPr>
                      <w:rFonts w:hint="default" w:ascii="Times New Roman" w:hAnsi="Times New Roman" w:eastAsia="宋体" w:cs="Times New Roman"/>
                      <w:spacing w:val="9"/>
                      <w:lang w:val="en-US" w:eastAsia="zh-CN"/>
                    </w:rPr>
                  </w:pPr>
                  <w:r>
                    <w:rPr>
                      <w:rFonts w:hint="default" w:ascii="Times New Roman" w:hAnsi="Times New Roman" w:eastAsia="宋体" w:cs="Times New Roman"/>
                      <w:spacing w:val="9"/>
                      <w:lang w:val="en-US" w:eastAsia="zh-CN"/>
                    </w:rPr>
                    <w:t>广东亿迅：5%-10%</w:t>
                  </w:r>
                </w:p>
              </w:tc>
            </w:tr>
          </w:tbl>
          <w:p w14:paraId="5A6CFCF5">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纵向关联：</w:t>
            </w:r>
          </w:p>
          <w:tbl>
            <w:tblPr>
              <w:tblStyle w:val="13"/>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14:paraId="55D3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494" w:type="dxa"/>
                  <w:noWrap w:val="0"/>
                  <w:vAlign w:val="top"/>
                </w:tcPr>
                <w:p w14:paraId="75BD71C8">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相关商品市场</w:t>
                  </w:r>
                </w:p>
              </w:tc>
              <w:tc>
                <w:tcPr>
                  <w:tcW w:w="2495" w:type="dxa"/>
                  <w:noWrap w:val="0"/>
                  <w:vAlign w:val="top"/>
                </w:tcPr>
                <w:p w14:paraId="317E7610">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相关地域市场</w:t>
                  </w:r>
                </w:p>
              </w:tc>
              <w:tc>
                <w:tcPr>
                  <w:tcW w:w="2495" w:type="dxa"/>
                  <w:noWrap w:val="0"/>
                  <w:vAlign w:val="top"/>
                </w:tcPr>
                <w:p w14:paraId="3C3BD617">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2025年市场份额</w:t>
                  </w:r>
                </w:p>
              </w:tc>
            </w:tr>
            <w:tr w14:paraId="325C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noWrap w:val="0"/>
                  <w:vAlign w:val="top"/>
                </w:tcPr>
                <w:p w14:paraId="66BC4EBF">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上游：互联网数据中心服务市场</w:t>
                  </w:r>
                </w:p>
                <w:p w14:paraId="6136969C">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下游：算力租赁市场</w:t>
                  </w:r>
                </w:p>
              </w:tc>
              <w:tc>
                <w:tcPr>
                  <w:tcW w:w="2495" w:type="dxa"/>
                  <w:noWrap w:val="0"/>
                  <w:vAlign w:val="top"/>
                </w:tcPr>
                <w:p w14:paraId="15BCAA02">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上游：中国境内</w:t>
                  </w:r>
                </w:p>
                <w:p w14:paraId="0DCA4B8E">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下游：中国境内</w:t>
                  </w:r>
                </w:p>
              </w:tc>
              <w:tc>
                <w:tcPr>
                  <w:tcW w:w="2495" w:type="dxa"/>
                  <w:noWrap w:val="0"/>
                  <w:vAlign w:val="top"/>
                </w:tcPr>
                <w:p w14:paraId="1EED0BF1">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上游：互联网数据中心服务</w:t>
                  </w:r>
                </w:p>
                <w:p w14:paraId="47BF18F4">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广东亿迅：</w:t>
                  </w:r>
                  <w:r>
                    <w:rPr>
                      <w:rFonts w:hint="default" w:ascii="Times New Roman" w:hAnsi="Times New Roman" w:cs="Times New Roman"/>
                      <w:b w:val="0"/>
                      <w:bCs/>
                      <w:color w:val="000000"/>
                      <w:kern w:val="0"/>
                      <w:sz w:val="24"/>
                      <w:lang w:val="en-US" w:eastAsia="zh-CN" w:bidi="ar-AE"/>
                    </w:rPr>
                    <w:t>15%-20%</w:t>
                  </w:r>
                </w:p>
                <w:p w14:paraId="06CB6257">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下游：如上所述</w:t>
                  </w:r>
                </w:p>
              </w:tc>
            </w:tr>
          </w:tbl>
          <w:p w14:paraId="5546A9DE">
            <w:pPr>
              <w:pStyle w:val="7"/>
              <w:widowControl/>
              <w:adjustRightInd w:val="0"/>
              <w:snapToGrid w:val="0"/>
              <w:spacing w:after="0"/>
              <w:rPr>
                <w:rFonts w:hint="default" w:ascii="Times New Roman" w:hAnsi="Times New Roman" w:cs="Times New Roman"/>
                <w:b/>
                <w:color w:val="000000" w:themeColor="text1"/>
                <w:kern w:val="0"/>
                <w:sz w:val="24"/>
                <w:szCs w:val="24"/>
                <w:lang w:val="en-US" w:eastAsia="zh-CN" w:bidi="ar-SA"/>
                <w14:textFill>
                  <w14:solidFill>
                    <w14:schemeClr w14:val="tx1"/>
                  </w14:solidFill>
                </w14:textFill>
              </w:rPr>
            </w:pPr>
            <w:r>
              <w:rPr>
                <w:rFonts w:hint="default" w:ascii="Times New Roman" w:hAnsi="Times New Roman" w:cs="Times New Roman"/>
                <w:b/>
                <w:color w:val="000000" w:themeColor="text1"/>
                <w:kern w:val="0"/>
                <w:sz w:val="24"/>
                <w:szCs w:val="24"/>
                <w:lang w:val="en-US" w:eastAsia="zh-CN" w:bidi="ar-SA"/>
                <w14:textFill>
                  <w14:solidFill>
                    <w14:schemeClr w14:val="tx1"/>
                  </w14:solidFill>
                </w14:textFill>
              </w:rPr>
              <w:t>混合集中：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14:paraId="2A55F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tcPr>
                <w:p w14:paraId="306E67B2">
                  <w:pPr>
                    <w:pStyle w:val="7"/>
                    <w:widowControl/>
                    <w:adjustRightInd w:val="0"/>
                    <w:snapToGrid w:val="0"/>
                    <w:spacing w:after="0"/>
                    <w:rPr>
                      <w:rFonts w:hint="default" w:ascii="Times New Roman" w:hAnsi="Times New Roman" w:cs="Times New Roman"/>
                      <w:b/>
                      <w:color w:val="000000" w:themeColor="text1"/>
                      <w:kern w:val="0"/>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bCs/>
                      <w:color w:val="000000"/>
                      <w:kern w:val="0"/>
                      <w:sz w:val="24"/>
                      <w:lang w:val="en-US" w:eastAsia="zh-CN" w:bidi="ar-AE"/>
                    </w:rPr>
                    <w:t>相关商品市场</w:t>
                  </w:r>
                </w:p>
              </w:tc>
              <w:tc>
                <w:tcPr>
                  <w:tcW w:w="2495" w:type="dxa"/>
                </w:tcPr>
                <w:p w14:paraId="53C3952D">
                  <w:pPr>
                    <w:pStyle w:val="7"/>
                    <w:widowControl/>
                    <w:adjustRightInd w:val="0"/>
                    <w:snapToGrid w:val="0"/>
                    <w:spacing w:after="0"/>
                    <w:rPr>
                      <w:rFonts w:hint="default" w:ascii="Times New Roman" w:hAnsi="Times New Roman" w:cs="Times New Roman"/>
                      <w:b/>
                      <w:color w:val="000000" w:themeColor="text1"/>
                      <w:kern w:val="0"/>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bCs/>
                      <w:color w:val="000000"/>
                      <w:kern w:val="0"/>
                      <w:sz w:val="24"/>
                      <w:lang w:val="en-US" w:eastAsia="zh-CN" w:bidi="ar-AE"/>
                    </w:rPr>
                    <w:t>相关地域市场</w:t>
                  </w:r>
                </w:p>
              </w:tc>
              <w:tc>
                <w:tcPr>
                  <w:tcW w:w="2495" w:type="dxa"/>
                </w:tcPr>
                <w:p w14:paraId="38E4B290">
                  <w:pPr>
                    <w:pStyle w:val="7"/>
                    <w:widowControl/>
                    <w:adjustRightInd w:val="0"/>
                    <w:snapToGrid w:val="0"/>
                    <w:spacing w:after="0"/>
                    <w:rPr>
                      <w:rFonts w:hint="default" w:ascii="Times New Roman" w:hAnsi="Times New Roman" w:cs="Times New Roman"/>
                      <w:b/>
                      <w:color w:val="000000" w:themeColor="text1"/>
                      <w:kern w:val="0"/>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bCs/>
                      <w:color w:val="000000"/>
                      <w:kern w:val="0"/>
                      <w:sz w:val="24"/>
                      <w:lang w:val="en-US" w:eastAsia="zh-CN" w:bidi="ar-AE"/>
                    </w:rPr>
                    <w:t>2025年市场份额</w:t>
                  </w:r>
                </w:p>
              </w:tc>
            </w:tr>
            <w:tr w14:paraId="07ACE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tcPr>
                <w:p w14:paraId="41BDE0A1">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算力运营服务市场</w:t>
                  </w:r>
                </w:p>
              </w:tc>
              <w:tc>
                <w:tcPr>
                  <w:tcW w:w="2495" w:type="dxa"/>
                </w:tcPr>
                <w:p w14:paraId="18603354">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中国境内</w:t>
                  </w:r>
                </w:p>
              </w:tc>
              <w:tc>
                <w:tcPr>
                  <w:tcW w:w="2495" w:type="dxa"/>
                </w:tcPr>
                <w:p w14:paraId="0007C722">
                  <w:pPr>
                    <w:pStyle w:val="7"/>
                    <w:widowControl/>
                    <w:adjustRightInd w:val="0"/>
                    <w:snapToGrid w:val="0"/>
                    <w:spacing w:after="0"/>
                    <w:rPr>
                      <w:rFonts w:hint="default" w:ascii="Times New Roman" w:hAnsi="Times New Roman" w:eastAsia="宋体" w:cs="Times New Roman"/>
                      <w:b w:val="0"/>
                      <w:bCs/>
                      <w:color w:val="000000"/>
                      <w:kern w:val="0"/>
                      <w:sz w:val="24"/>
                      <w:lang w:val="en-US" w:eastAsia="zh-CN" w:bidi="ar-AE"/>
                    </w:rPr>
                  </w:pPr>
                  <w:r>
                    <w:rPr>
                      <w:rFonts w:hint="default" w:ascii="Times New Roman" w:hAnsi="Times New Roman" w:eastAsia="宋体" w:cs="Times New Roman"/>
                      <w:b w:val="0"/>
                      <w:bCs/>
                      <w:color w:val="000000"/>
                      <w:kern w:val="0"/>
                      <w:sz w:val="24"/>
                      <w:lang w:val="en-US" w:eastAsia="zh-CN" w:bidi="ar-AE"/>
                    </w:rPr>
                    <w:t>广东亿迅：5%-10%</w:t>
                  </w:r>
                </w:p>
              </w:tc>
            </w:tr>
          </w:tbl>
          <w:p w14:paraId="17A225F3">
            <w:pPr>
              <w:pStyle w:val="7"/>
              <w:widowControl/>
              <w:adjustRightInd w:val="0"/>
              <w:snapToGrid w:val="0"/>
              <w:spacing w:after="0"/>
              <w:rPr>
                <w:rFonts w:hint="default" w:ascii="Times New Roman" w:hAnsi="Times New Roman" w:cs="Times New Roman"/>
                <w:b/>
                <w:color w:val="000000" w:themeColor="text1"/>
                <w:kern w:val="0"/>
                <w:sz w:val="24"/>
                <w:szCs w:val="24"/>
                <w:lang w:val="en-US" w:eastAsia="zh-CN" w:bidi="ar-SA"/>
                <w14:textFill>
                  <w14:solidFill>
                    <w14:schemeClr w14:val="tx1"/>
                  </w14:solidFill>
                </w14:textFill>
              </w:rPr>
            </w:pP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hint="default" w:ascii="Times New Roman" w:hAnsi="Times New Roman" w:cs="Times New Roman"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00172A2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6E4D7C"/>
    <w:rsid w:val="07D6476B"/>
    <w:rsid w:val="087232C3"/>
    <w:rsid w:val="08D6542E"/>
    <w:rsid w:val="08ED34FD"/>
    <w:rsid w:val="093446A7"/>
    <w:rsid w:val="09A336F0"/>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3A749A"/>
    <w:rsid w:val="147D797B"/>
    <w:rsid w:val="148B0637"/>
    <w:rsid w:val="150C1E94"/>
    <w:rsid w:val="15D94F21"/>
    <w:rsid w:val="15E47716"/>
    <w:rsid w:val="16260FE0"/>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2A646F"/>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CD00AAF"/>
    <w:rsid w:val="2D0217A7"/>
    <w:rsid w:val="2D123945"/>
    <w:rsid w:val="2D522E91"/>
    <w:rsid w:val="2DA7BB6E"/>
    <w:rsid w:val="2DE926AB"/>
    <w:rsid w:val="2DFF8C0F"/>
    <w:rsid w:val="2ECF569F"/>
    <w:rsid w:val="2F0902B7"/>
    <w:rsid w:val="2F873425"/>
    <w:rsid w:val="2FD63906"/>
    <w:rsid w:val="2FEDBF98"/>
    <w:rsid w:val="301601A6"/>
    <w:rsid w:val="3025112D"/>
    <w:rsid w:val="306F1D95"/>
    <w:rsid w:val="31687D65"/>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26C6CEB"/>
    <w:rsid w:val="436E421B"/>
    <w:rsid w:val="43D81ACB"/>
    <w:rsid w:val="43E353FE"/>
    <w:rsid w:val="443B7A46"/>
    <w:rsid w:val="443B7D84"/>
    <w:rsid w:val="44EF696F"/>
    <w:rsid w:val="45A801C9"/>
    <w:rsid w:val="45E92E66"/>
    <w:rsid w:val="463C27E0"/>
    <w:rsid w:val="46845245"/>
    <w:rsid w:val="46F216C3"/>
    <w:rsid w:val="47226FD9"/>
    <w:rsid w:val="48247180"/>
    <w:rsid w:val="482B77B9"/>
    <w:rsid w:val="48567BBA"/>
    <w:rsid w:val="48604985"/>
    <w:rsid w:val="48C332AF"/>
    <w:rsid w:val="48DB4B1D"/>
    <w:rsid w:val="48FE2C64"/>
    <w:rsid w:val="4935600E"/>
    <w:rsid w:val="49857111"/>
    <w:rsid w:val="498A72A0"/>
    <w:rsid w:val="4A280DAA"/>
    <w:rsid w:val="4B44740D"/>
    <w:rsid w:val="4BED5B46"/>
    <w:rsid w:val="4C824703"/>
    <w:rsid w:val="4CC01CF8"/>
    <w:rsid w:val="4CFB2073"/>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1C80456"/>
    <w:rsid w:val="522432EB"/>
    <w:rsid w:val="5260460E"/>
    <w:rsid w:val="5275657D"/>
    <w:rsid w:val="531C58AE"/>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1B1B2F"/>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E8185B"/>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4218BB"/>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2C32D0"/>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Text"/>
    <w:basedOn w:val="1"/>
    <w:semiHidden/>
    <w:qFormat/>
    <w:uiPriority w:val="0"/>
    <w:rPr>
      <w:rFonts w:ascii="微软雅黑" w:hAnsi="微软雅黑" w:eastAsia="微软雅黑" w:cs="微软雅黑"/>
      <w:sz w:val="24"/>
      <w:szCs w:val="24"/>
    </w:rPr>
  </w:style>
  <w:style w:type="table" w:customStyle="1" w:styleId="24">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2</Pages>
  <Words>2166</Words>
  <Characters>2321</Characters>
  <Lines>1</Lines>
  <Paragraphs>1</Paragraphs>
  <TotalTime>5</TotalTime>
  <ScaleCrop>false</ScaleCrop>
  <LinksUpToDate>false</LinksUpToDate>
  <CharactersWithSpaces>3184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2026-09-30T09:09:38Z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