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0044D" w14:textId="77777777" w:rsidR="009D4530" w:rsidRDefault="009D4530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9D4530" w:rsidRPr="00370E78" w14:paraId="1FA319C6" w14:textId="77777777" w:rsidTr="42313BE7">
        <w:trPr>
          <w:trHeight w:val="926"/>
        </w:trPr>
        <w:tc>
          <w:tcPr>
            <w:tcW w:w="1940" w:type="dxa"/>
            <w:shd w:val="clear" w:color="auto" w:fill="D9D9D9" w:themeFill="background1" w:themeFillShade="D9"/>
            <w:vAlign w:val="center"/>
          </w:tcPr>
          <w:p w14:paraId="7861CC7F" w14:textId="77777777" w:rsidR="009D4530" w:rsidRPr="00370E78" w:rsidRDefault="009D4530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/>
              </w:rPr>
            </w:pPr>
            <w:r w:rsidRPr="00370E78">
              <w:rPr>
                <w:rFonts w:cs="宋体" w:hint="eastAsia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5AEF0BC3" w14:textId="299B9704" w:rsidR="009D4530" w:rsidRPr="00370E78" w:rsidRDefault="00E63DCC" w:rsidP="005D3152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541DF4">
              <w:rPr>
                <w:rFonts w:cs="宋体"/>
                <w:color w:val="000000" w:themeColor="text1"/>
                <w:lang w:eastAsia="zh-CN"/>
              </w:rPr>
              <w:t>Woodside Browse Pty. Ltd.</w:t>
            </w:r>
            <w:r w:rsidR="00541DF4">
              <w:rPr>
                <w:rFonts w:cs="宋体" w:hint="eastAsia"/>
                <w:color w:val="000000" w:themeColor="text1"/>
                <w:lang w:eastAsia="zh-CN"/>
              </w:rPr>
              <w:t xml:space="preserve"> </w:t>
            </w:r>
            <w:r w:rsidRPr="00541DF4">
              <w:rPr>
                <w:rFonts w:cs="宋体"/>
                <w:color w:val="000000" w:themeColor="text1"/>
                <w:lang w:eastAsia="zh-CN"/>
              </w:rPr>
              <w:t>收购</w:t>
            </w:r>
            <w:r w:rsidR="00541DF4">
              <w:rPr>
                <w:rFonts w:cs="宋体" w:hint="eastAsia"/>
                <w:color w:val="000000" w:themeColor="text1"/>
                <w:lang w:eastAsia="zh-CN"/>
              </w:rPr>
              <w:t xml:space="preserve"> </w:t>
            </w:r>
            <w:r w:rsidRPr="00541DF4">
              <w:rPr>
                <w:rFonts w:cs="宋体"/>
                <w:color w:val="000000" w:themeColor="text1"/>
                <w:lang w:eastAsia="zh-CN"/>
              </w:rPr>
              <w:t xml:space="preserve">Browse Joint Venture </w:t>
            </w:r>
            <w:r w:rsidRPr="00541DF4">
              <w:rPr>
                <w:rFonts w:cs="宋体"/>
                <w:color w:val="000000" w:themeColor="text1"/>
                <w:lang w:eastAsia="zh-CN"/>
              </w:rPr>
              <w:t>资产案</w:t>
            </w:r>
          </w:p>
        </w:tc>
      </w:tr>
      <w:tr w:rsidR="009D4530" w:rsidRPr="00370E78" w14:paraId="392D9B9B" w14:textId="77777777" w:rsidTr="42313BE7">
        <w:trPr>
          <w:trHeight w:val="1391"/>
        </w:trPr>
        <w:tc>
          <w:tcPr>
            <w:tcW w:w="1940" w:type="dxa"/>
            <w:shd w:val="clear" w:color="auto" w:fill="D9D9D9" w:themeFill="background1" w:themeFillShade="D9"/>
            <w:vAlign w:val="center"/>
          </w:tcPr>
          <w:p w14:paraId="4F2083EA" w14:textId="77777777" w:rsidR="009D4530" w:rsidRPr="00370E78" w:rsidRDefault="009D4530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t>交易概况（限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200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5BE3C914" w14:textId="39983DD2" w:rsidR="005A6C8C" w:rsidRPr="005A6C8C" w:rsidRDefault="005A6C8C" w:rsidP="005A6C8C">
            <w:pPr>
              <w:pStyle w:val="BodyText"/>
              <w:adjustRightInd w:val="0"/>
              <w:snapToGrid w:val="0"/>
              <w:spacing w:after="0"/>
              <w:rPr>
                <w:rFonts w:cs="宋体"/>
                <w:color w:val="000000" w:themeColor="text1"/>
                <w:lang w:eastAsia="zh-CN"/>
              </w:rPr>
            </w:pPr>
            <w:r w:rsidRPr="005A6C8C">
              <w:rPr>
                <w:rFonts w:cs="宋体"/>
                <w:color w:val="000000" w:themeColor="text1"/>
                <w:lang w:eastAsia="zh-CN"/>
              </w:rPr>
              <w:t>Woodside Browse Pty. Ltd.</w:t>
            </w:r>
            <w:r w:rsidRPr="005A6C8C">
              <w:rPr>
                <w:rFonts w:cs="宋体" w:hint="eastAsia"/>
                <w:color w:val="000000" w:themeColor="text1"/>
                <w:lang w:eastAsia="zh-CN"/>
              </w:rPr>
              <w:t>（“</w:t>
            </w:r>
            <w:r w:rsidRPr="005A6C8C">
              <w:rPr>
                <w:rFonts w:cs="宋体" w:hint="eastAsia"/>
                <w:color w:val="000000" w:themeColor="text1"/>
                <w:lang w:eastAsia="zh-CN"/>
              </w:rPr>
              <w:t>WBPL</w:t>
            </w:r>
            <w:r w:rsidRPr="005A6C8C">
              <w:rPr>
                <w:rFonts w:cs="宋体" w:hint="eastAsia"/>
                <w:color w:val="000000" w:themeColor="text1"/>
                <w:lang w:eastAsia="zh-CN"/>
              </w:rPr>
              <w:t>”）与中国石油国际投资（澳大利亚）有限公司（“</w:t>
            </w:r>
            <w:r w:rsidRPr="005A6C8C">
              <w:rPr>
                <w:rFonts w:cs="宋体"/>
                <w:color w:val="000000" w:themeColor="text1"/>
                <w:lang w:eastAsia="zh-CN"/>
              </w:rPr>
              <w:t>中石油</w:t>
            </w:r>
            <w:r w:rsidR="00867FE0" w:rsidRPr="00867FE0">
              <w:rPr>
                <w:rFonts w:cs="宋体"/>
                <w:color w:val="000000" w:themeColor="text1"/>
                <w:lang w:eastAsia="zh-CN"/>
              </w:rPr>
              <w:t>国际投资</w:t>
            </w:r>
            <w:r w:rsidRPr="005A6C8C">
              <w:rPr>
                <w:rFonts w:cs="宋体" w:hint="eastAsia"/>
                <w:color w:val="000000" w:themeColor="text1"/>
                <w:lang w:eastAsia="zh-CN"/>
              </w:rPr>
              <w:t>”）签署协议，由</w:t>
            </w:r>
            <w:r w:rsidRPr="005A6C8C">
              <w:rPr>
                <w:rFonts w:cs="宋体" w:hint="eastAsia"/>
                <w:color w:val="000000" w:themeColor="text1"/>
                <w:lang w:eastAsia="zh-CN"/>
              </w:rPr>
              <w:t>WBPL</w:t>
            </w:r>
            <w:r w:rsidRPr="005A6C8C">
              <w:rPr>
                <w:rFonts w:cs="宋体" w:hint="eastAsia"/>
                <w:color w:val="000000" w:themeColor="text1"/>
                <w:lang w:eastAsia="zh-CN"/>
              </w:rPr>
              <w:t>收购</w:t>
            </w:r>
            <w:r w:rsidR="0043581A" w:rsidRPr="0043581A">
              <w:rPr>
                <w:rFonts w:cs="宋体"/>
                <w:color w:val="000000" w:themeColor="text1"/>
                <w:lang w:eastAsia="zh-CN"/>
              </w:rPr>
              <w:t>中石油国际投资</w:t>
            </w:r>
            <w:r w:rsidRPr="005A6C8C">
              <w:rPr>
                <w:rFonts w:cs="宋体" w:hint="eastAsia"/>
                <w:color w:val="000000" w:themeColor="text1"/>
                <w:lang w:eastAsia="zh-CN"/>
              </w:rPr>
              <w:t>持有的</w:t>
            </w:r>
            <w:r w:rsidRPr="005A6C8C">
              <w:rPr>
                <w:rFonts w:cs="宋体" w:hint="eastAsia"/>
                <w:color w:val="000000" w:themeColor="text1"/>
                <w:lang w:eastAsia="zh-CN"/>
              </w:rPr>
              <w:t>Browse Joint Venture</w:t>
            </w:r>
            <w:r w:rsidR="00E66EBD">
              <w:rPr>
                <w:rFonts w:cs="宋体" w:hint="eastAsia"/>
                <w:color w:val="000000" w:themeColor="text1"/>
                <w:lang w:eastAsia="zh-CN"/>
              </w:rPr>
              <w:t>资产</w:t>
            </w:r>
            <w:r w:rsidRPr="005A6C8C">
              <w:rPr>
                <w:rFonts w:cs="宋体" w:hint="eastAsia"/>
                <w:color w:val="000000" w:themeColor="text1"/>
                <w:lang w:eastAsia="zh-CN"/>
              </w:rPr>
              <w:t>（“</w:t>
            </w:r>
            <w:r w:rsidR="00E7502A">
              <w:rPr>
                <w:rFonts w:cs="宋体" w:hint="eastAsia"/>
                <w:color w:val="000000" w:themeColor="text1"/>
                <w:lang w:eastAsia="zh-CN"/>
              </w:rPr>
              <w:t>目标资产</w:t>
            </w:r>
            <w:r w:rsidRPr="005A6C8C">
              <w:rPr>
                <w:rFonts w:cs="宋体" w:hint="eastAsia"/>
                <w:color w:val="000000" w:themeColor="text1"/>
                <w:lang w:eastAsia="zh-CN"/>
              </w:rPr>
              <w:t>”）</w:t>
            </w:r>
            <w:r w:rsidR="008B3C48">
              <w:rPr>
                <w:rFonts w:cs="宋体" w:hint="eastAsia"/>
                <w:color w:val="000000" w:themeColor="text1"/>
                <w:lang w:eastAsia="zh-CN"/>
              </w:rPr>
              <w:t>中</w:t>
            </w:r>
            <w:r w:rsidRPr="005A6C8C">
              <w:rPr>
                <w:rFonts w:cs="宋体" w:hint="eastAsia"/>
                <w:color w:val="000000" w:themeColor="text1"/>
                <w:lang w:eastAsia="zh-CN"/>
              </w:rPr>
              <w:t>10.67%</w:t>
            </w:r>
            <w:r w:rsidRPr="005A6C8C">
              <w:rPr>
                <w:rFonts w:cs="宋体" w:hint="eastAsia"/>
                <w:color w:val="000000" w:themeColor="text1"/>
                <w:lang w:eastAsia="zh-CN"/>
              </w:rPr>
              <w:t>的权益。</w:t>
            </w:r>
            <w:r w:rsidR="00E7502A">
              <w:rPr>
                <w:rFonts w:cs="宋体" w:hint="eastAsia"/>
                <w:color w:val="000000" w:themeColor="text1"/>
                <w:lang w:eastAsia="zh-CN"/>
              </w:rPr>
              <w:t>目标资产</w:t>
            </w:r>
            <w:r w:rsidR="00961BFA">
              <w:rPr>
                <w:rFonts w:cs="宋体" w:hint="eastAsia"/>
                <w:color w:val="000000" w:themeColor="text1"/>
                <w:lang w:eastAsia="zh-CN"/>
              </w:rPr>
              <w:t>主营业务为</w:t>
            </w:r>
            <w:r w:rsidRPr="005A6C8C">
              <w:rPr>
                <w:rFonts w:cs="宋体" w:hint="eastAsia"/>
                <w:color w:val="000000" w:themeColor="text1"/>
                <w:lang w:eastAsia="zh-CN"/>
              </w:rPr>
              <w:t>拟开发位于西澳州近海</w:t>
            </w:r>
            <w:r w:rsidRPr="005A6C8C">
              <w:rPr>
                <w:rFonts w:cs="宋体" w:hint="eastAsia"/>
                <w:color w:val="000000" w:themeColor="text1"/>
                <w:lang w:eastAsia="zh-CN"/>
              </w:rPr>
              <w:t>Browse</w:t>
            </w:r>
            <w:r w:rsidRPr="005A6C8C">
              <w:rPr>
                <w:rFonts w:cs="宋体" w:hint="eastAsia"/>
                <w:color w:val="000000" w:themeColor="text1"/>
                <w:lang w:eastAsia="zh-CN"/>
              </w:rPr>
              <w:t>盆地的天然气田。</w:t>
            </w:r>
          </w:p>
          <w:p w14:paraId="4CA5E645" w14:textId="77777777" w:rsidR="005A6C8C" w:rsidRPr="005A6C8C" w:rsidRDefault="005A6C8C" w:rsidP="005A6C8C">
            <w:pPr>
              <w:pStyle w:val="BodyText"/>
              <w:adjustRightInd w:val="0"/>
              <w:snapToGrid w:val="0"/>
              <w:spacing w:after="0"/>
              <w:rPr>
                <w:rFonts w:cs="宋体"/>
                <w:color w:val="000000" w:themeColor="text1"/>
                <w:lang w:eastAsia="zh-CN"/>
              </w:rPr>
            </w:pPr>
          </w:p>
          <w:p w14:paraId="78C859E5" w14:textId="6322D5BD" w:rsidR="002D7975" w:rsidRPr="00370E78" w:rsidRDefault="005A6C8C" w:rsidP="005A6C8C">
            <w:pPr>
              <w:pStyle w:val="BodyText"/>
              <w:adjustRightInd w:val="0"/>
              <w:snapToGrid w:val="0"/>
              <w:spacing w:after="0"/>
              <w:rPr>
                <w:rFonts w:cs="宋体"/>
                <w:color w:val="000000"/>
                <w:lang w:eastAsia="zh-CN"/>
              </w:rPr>
            </w:pPr>
            <w:r w:rsidRPr="005A6C8C">
              <w:rPr>
                <w:rFonts w:cs="宋体" w:hint="eastAsia"/>
                <w:color w:val="000000" w:themeColor="text1"/>
                <w:lang w:eastAsia="zh-CN"/>
              </w:rPr>
              <w:t>本次交易前，</w:t>
            </w:r>
            <w:r w:rsidRPr="005A6C8C">
              <w:rPr>
                <w:rFonts w:cs="宋体" w:hint="eastAsia"/>
                <w:color w:val="000000" w:themeColor="text1"/>
                <w:lang w:eastAsia="zh-CN"/>
              </w:rPr>
              <w:t>BP Developments Australia Pty Ltd</w:t>
            </w:r>
            <w:r w:rsidRPr="005A6C8C">
              <w:rPr>
                <w:rFonts w:cs="宋体" w:hint="eastAsia"/>
                <w:color w:val="000000" w:themeColor="text1"/>
                <w:lang w:eastAsia="zh-CN"/>
              </w:rPr>
              <w:t>（“</w:t>
            </w:r>
            <w:r w:rsidRPr="005A6C8C">
              <w:rPr>
                <w:rFonts w:cs="宋体" w:hint="eastAsia"/>
                <w:color w:val="000000" w:themeColor="text1"/>
                <w:lang w:eastAsia="zh-CN"/>
              </w:rPr>
              <w:t xml:space="preserve">BP </w:t>
            </w:r>
            <w:r w:rsidR="0079007D">
              <w:rPr>
                <w:rFonts w:cs="宋体" w:hint="eastAsia"/>
                <w:color w:val="000000" w:themeColor="text1"/>
                <w:lang w:eastAsia="zh-CN"/>
              </w:rPr>
              <w:t>发展</w:t>
            </w:r>
            <w:r w:rsidRPr="005A6C8C">
              <w:rPr>
                <w:rFonts w:cs="宋体" w:hint="eastAsia"/>
                <w:color w:val="000000" w:themeColor="text1"/>
                <w:lang w:eastAsia="zh-CN"/>
              </w:rPr>
              <w:t>”）</w:t>
            </w:r>
            <w:r w:rsidR="00961BFA">
              <w:rPr>
                <w:rFonts w:cs="宋体" w:hint="eastAsia"/>
                <w:color w:val="000000" w:themeColor="text1"/>
                <w:lang w:eastAsia="zh-CN"/>
              </w:rPr>
              <w:t>持有</w:t>
            </w:r>
            <w:r w:rsidR="006F70F9">
              <w:rPr>
                <w:rFonts w:cs="宋体" w:hint="eastAsia"/>
                <w:color w:val="000000" w:themeColor="text1"/>
                <w:lang w:eastAsia="zh-CN"/>
              </w:rPr>
              <w:t>目标资产</w:t>
            </w:r>
            <w:r w:rsidR="00961BFA" w:rsidRPr="00961BFA">
              <w:rPr>
                <w:rFonts w:cs="宋体"/>
                <w:color w:val="000000" w:themeColor="text1"/>
                <w:lang w:eastAsia="zh-CN"/>
              </w:rPr>
              <w:t>44.33%</w:t>
            </w:r>
            <w:r w:rsidR="00961BFA" w:rsidRPr="00961BFA">
              <w:rPr>
                <w:rFonts w:cs="宋体"/>
                <w:color w:val="000000" w:themeColor="text1"/>
                <w:lang w:eastAsia="zh-CN"/>
              </w:rPr>
              <w:t>的权益</w:t>
            </w:r>
            <w:r w:rsidR="00961BFA">
              <w:rPr>
                <w:rFonts w:cs="宋体" w:hint="eastAsia"/>
                <w:color w:val="000000" w:themeColor="text1"/>
                <w:lang w:eastAsia="zh-CN"/>
              </w:rPr>
              <w:t>，</w:t>
            </w:r>
            <w:r w:rsidRPr="005A6C8C">
              <w:rPr>
                <w:rFonts w:cs="宋体" w:hint="eastAsia"/>
                <w:color w:val="000000" w:themeColor="text1"/>
                <w:lang w:eastAsia="zh-CN"/>
              </w:rPr>
              <w:t>单独控制</w:t>
            </w:r>
            <w:r w:rsidR="00967887">
              <w:rPr>
                <w:rFonts w:cs="宋体" w:hint="eastAsia"/>
                <w:color w:val="000000" w:themeColor="text1"/>
                <w:lang w:eastAsia="zh-CN"/>
              </w:rPr>
              <w:t>目标资产</w:t>
            </w:r>
            <w:r w:rsidRPr="005A6C8C">
              <w:rPr>
                <w:rFonts w:cs="宋体" w:hint="eastAsia"/>
                <w:color w:val="000000" w:themeColor="text1"/>
                <w:lang w:eastAsia="zh-CN"/>
              </w:rPr>
              <w:t>。交易完成后，</w:t>
            </w:r>
            <w:r w:rsidRPr="005A6C8C">
              <w:rPr>
                <w:rFonts w:cs="宋体" w:hint="eastAsia"/>
                <w:color w:val="000000" w:themeColor="text1"/>
                <w:lang w:eastAsia="zh-CN"/>
              </w:rPr>
              <w:t xml:space="preserve">BP </w:t>
            </w:r>
            <w:r w:rsidR="00C4333F">
              <w:rPr>
                <w:rFonts w:cs="宋体" w:hint="eastAsia"/>
                <w:color w:val="000000" w:themeColor="text1"/>
                <w:lang w:eastAsia="zh-CN"/>
              </w:rPr>
              <w:t>发展</w:t>
            </w:r>
            <w:r w:rsidR="006F70F9">
              <w:rPr>
                <w:rFonts w:cs="宋体" w:hint="eastAsia"/>
                <w:color w:val="000000" w:themeColor="text1"/>
                <w:lang w:eastAsia="zh-CN"/>
              </w:rPr>
              <w:t>和</w:t>
            </w:r>
            <w:r w:rsidR="006F70F9">
              <w:rPr>
                <w:rFonts w:cs="宋体" w:hint="eastAsia"/>
                <w:color w:val="000000" w:themeColor="text1"/>
                <w:lang w:eastAsia="zh-CN"/>
              </w:rPr>
              <w:t>WBPL</w:t>
            </w:r>
            <w:r w:rsidR="00C4333F">
              <w:rPr>
                <w:rFonts w:cs="宋体" w:hint="eastAsia"/>
                <w:color w:val="000000" w:themeColor="text1"/>
                <w:lang w:eastAsia="zh-CN"/>
              </w:rPr>
              <w:t>将</w:t>
            </w:r>
            <w:r w:rsidR="006F70F9">
              <w:rPr>
                <w:rFonts w:cs="宋体" w:hint="eastAsia"/>
                <w:color w:val="000000" w:themeColor="text1"/>
                <w:lang w:eastAsia="zh-CN"/>
              </w:rPr>
              <w:t>分别</w:t>
            </w:r>
            <w:r w:rsidRPr="005A6C8C">
              <w:rPr>
                <w:rFonts w:cs="宋体" w:hint="eastAsia"/>
                <w:color w:val="000000" w:themeColor="text1"/>
                <w:lang w:eastAsia="zh-CN"/>
              </w:rPr>
              <w:t>持有</w:t>
            </w:r>
            <w:r w:rsidR="001F4A05">
              <w:rPr>
                <w:rFonts w:cs="宋体" w:hint="eastAsia"/>
                <w:color w:val="000000" w:themeColor="text1"/>
                <w:lang w:eastAsia="zh-CN"/>
              </w:rPr>
              <w:t>目标资产</w:t>
            </w:r>
            <w:r w:rsidRPr="005A6C8C">
              <w:rPr>
                <w:rFonts w:cs="宋体" w:hint="eastAsia"/>
                <w:color w:val="000000" w:themeColor="text1"/>
                <w:lang w:eastAsia="zh-CN"/>
              </w:rPr>
              <w:t>44.33%</w:t>
            </w:r>
            <w:r w:rsidR="006F70F9">
              <w:rPr>
                <w:rFonts w:cs="宋体" w:hint="eastAsia"/>
                <w:color w:val="000000" w:themeColor="text1"/>
                <w:lang w:eastAsia="zh-CN"/>
              </w:rPr>
              <w:t>和</w:t>
            </w:r>
            <w:r w:rsidRPr="005A6C8C">
              <w:rPr>
                <w:rFonts w:cs="宋体" w:hint="eastAsia"/>
                <w:color w:val="000000" w:themeColor="text1"/>
                <w:lang w:eastAsia="zh-CN"/>
              </w:rPr>
              <w:t>41.27%</w:t>
            </w:r>
            <w:r w:rsidRPr="005A6C8C">
              <w:rPr>
                <w:rFonts w:cs="宋体" w:hint="eastAsia"/>
                <w:color w:val="000000" w:themeColor="text1"/>
                <w:lang w:eastAsia="zh-CN"/>
              </w:rPr>
              <w:t>的权益，共同控制</w:t>
            </w:r>
            <w:r w:rsidR="00967887" w:rsidRPr="00967887">
              <w:rPr>
                <w:rFonts w:cs="宋体"/>
                <w:color w:val="000000" w:themeColor="text1"/>
                <w:lang w:eastAsia="zh-CN"/>
              </w:rPr>
              <w:t>目标资产</w:t>
            </w:r>
            <w:r w:rsidRPr="005A6C8C">
              <w:rPr>
                <w:rFonts w:cs="宋体" w:hint="eastAsia"/>
                <w:color w:val="000000" w:themeColor="text1"/>
                <w:lang w:eastAsia="zh-CN"/>
              </w:rPr>
              <w:t>。</w:t>
            </w:r>
          </w:p>
        </w:tc>
      </w:tr>
      <w:tr w:rsidR="005E4D0D" w:rsidRPr="00370E78" w14:paraId="5D926159" w14:textId="77777777" w:rsidTr="42313BE7">
        <w:trPr>
          <w:trHeight w:val="942"/>
        </w:trPr>
        <w:tc>
          <w:tcPr>
            <w:tcW w:w="1940" w:type="dxa"/>
            <w:vMerge w:val="restart"/>
            <w:shd w:val="clear" w:color="auto" w:fill="D9D9D9" w:themeFill="background1" w:themeFillShade="D9"/>
            <w:vAlign w:val="center"/>
          </w:tcPr>
          <w:p w14:paraId="25B75510" w14:textId="77777777" w:rsidR="005E4D0D" w:rsidRPr="00370E78" w:rsidRDefault="005E4D0D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t>参与集中的经营者简介（每个限</w:t>
            </w:r>
            <w:r w:rsidRPr="00370E78">
              <w:rPr>
                <w:rFonts w:cs="宋体" w:hint="eastAsia"/>
                <w:bCs/>
                <w:color w:val="000000"/>
                <w:lang w:val="en-US" w:eastAsia="zh-CN"/>
              </w:rPr>
              <w:t>100</w:t>
            </w:r>
            <w:r w:rsidRPr="00370E78">
              <w:rPr>
                <w:rFonts w:cs="宋体" w:hint="eastAsia"/>
                <w:bCs/>
                <w:color w:val="000000"/>
                <w:lang w:val="en-US" w:eastAsia="zh-CN"/>
              </w:rPr>
              <w:t>字以内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054712CB" w14:textId="3F845577" w:rsidR="005E4D0D" w:rsidRPr="00D604A8" w:rsidRDefault="005E4D0D" w:rsidP="00E92DC0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D604A8">
              <w:rPr>
                <w:rFonts w:cs="宋体" w:hint="eastAsia"/>
                <w:bCs/>
                <w:color w:val="000000"/>
                <w:lang w:val="en-US" w:eastAsia="zh-CN"/>
              </w:rPr>
              <w:t>1.</w:t>
            </w:r>
            <w:r>
              <w:rPr>
                <w:rFonts w:cs="宋体"/>
                <w:bCs/>
                <w:color w:val="000000"/>
                <w:lang w:val="en-US" w:eastAsia="zh-CN"/>
              </w:rPr>
              <w:t xml:space="preserve"> </w:t>
            </w:r>
            <w:r w:rsidR="00123EA1">
              <w:rPr>
                <w:rFonts w:hint="eastAsia"/>
                <w:bCs/>
                <w:color w:val="000000"/>
                <w:lang w:val="en-US" w:eastAsia="zh-CN"/>
              </w:rPr>
              <w:t>WBPL</w:t>
            </w:r>
          </w:p>
        </w:tc>
        <w:tc>
          <w:tcPr>
            <w:tcW w:w="6093" w:type="dxa"/>
            <w:vAlign w:val="center"/>
          </w:tcPr>
          <w:p w14:paraId="7A0E1052" w14:textId="5838878A" w:rsidR="00336F67" w:rsidRPr="00336F67" w:rsidRDefault="00336F67" w:rsidP="00336F67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336F67">
              <w:rPr>
                <w:rFonts w:cs="宋体" w:hint="eastAsia"/>
                <w:bCs/>
                <w:color w:val="000000"/>
                <w:lang w:eastAsia="zh-CN"/>
              </w:rPr>
              <w:t>WBPL</w:t>
            </w:r>
            <w:r w:rsidRPr="00336F67">
              <w:rPr>
                <w:rFonts w:cs="宋体" w:hint="eastAsia"/>
                <w:bCs/>
                <w:color w:val="000000"/>
                <w:lang w:eastAsia="zh-CN"/>
              </w:rPr>
              <w:t>于</w:t>
            </w:r>
            <w:r w:rsidRPr="00336F67">
              <w:rPr>
                <w:rFonts w:cs="宋体" w:hint="eastAsia"/>
                <w:bCs/>
                <w:color w:val="000000"/>
                <w:lang w:eastAsia="zh-CN"/>
              </w:rPr>
              <w:t>2006</w:t>
            </w:r>
            <w:r w:rsidRPr="00336F67">
              <w:rPr>
                <w:rFonts w:cs="宋体" w:hint="eastAsia"/>
                <w:bCs/>
                <w:color w:val="000000"/>
                <w:lang w:eastAsia="zh-CN"/>
              </w:rPr>
              <w:t>年</w:t>
            </w:r>
            <w:r w:rsidRPr="00336F67">
              <w:rPr>
                <w:rFonts w:cs="宋体" w:hint="eastAsia"/>
                <w:bCs/>
                <w:color w:val="000000"/>
                <w:lang w:eastAsia="zh-CN"/>
              </w:rPr>
              <w:t>6</w:t>
            </w:r>
            <w:r w:rsidRPr="00336F67">
              <w:rPr>
                <w:rFonts w:cs="宋体" w:hint="eastAsia"/>
                <w:bCs/>
                <w:color w:val="000000"/>
                <w:lang w:eastAsia="zh-CN"/>
              </w:rPr>
              <w:t>月</w:t>
            </w:r>
            <w:r w:rsidRPr="00336F67">
              <w:rPr>
                <w:rFonts w:cs="宋体" w:hint="eastAsia"/>
                <w:bCs/>
                <w:color w:val="000000"/>
                <w:lang w:eastAsia="zh-CN"/>
              </w:rPr>
              <w:t>16</w:t>
            </w:r>
            <w:r w:rsidRPr="00336F67">
              <w:rPr>
                <w:rFonts w:cs="宋体" w:hint="eastAsia"/>
                <w:bCs/>
                <w:color w:val="000000"/>
                <w:lang w:eastAsia="zh-CN"/>
              </w:rPr>
              <w:t>日在澳大利亚设立，其主要业务为持有</w:t>
            </w:r>
            <w:r w:rsidR="001F4A05">
              <w:rPr>
                <w:rFonts w:cs="宋体" w:hint="eastAsia"/>
                <w:bCs/>
                <w:color w:val="000000"/>
                <w:lang w:eastAsia="zh-CN"/>
              </w:rPr>
              <w:t>目标资产</w:t>
            </w:r>
            <w:r w:rsidRPr="00336F67">
              <w:rPr>
                <w:rFonts w:cs="宋体" w:hint="eastAsia"/>
                <w:bCs/>
                <w:color w:val="000000"/>
                <w:lang w:eastAsia="zh-CN"/>
              </w:rPr>
              <w:t>的权益。</w:t>
            </w:r>
          </w:p>
          <w:p w14:paraId="6C7EF538" w14:textId="7A2AEB2A" w:rsidR="00BE0C9C" w:rsidRPr="00370E78" w:rsidRDefault="00336F67" w:rsidP="00336F67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336F67">
              <w:rPr>
                <w:rFonts w:cs="宋体" w:hint="eastAsia"/>
                <w:bCs/>
                <w:color w:val="000000"/>
                <w:lang w:eastAsia="zh-CN"/>
              </w:rPr>
              <w:t>WBPL</w:t>
            </w:r>
            <w:r w:rsidRPr="00336F67">
              <w:rPr>
                <w:rFonts w:cs="宋体" w:hint="eastAsia"/>
                <w:bCs/>
                <w:color w:val="000000"/>
                <w:lang w:eastAsia="zh-CN"/>
              </w:rPr>
              <w:t>的最终控制人为伍德赛德能源集团有限公司（“伍德赛德”）。伍德赛德的主要业务为</w:t>
            </w:r>
            <w:r w:rsidR="00C7797E" w:rsidRPr="00C7797E">
              <w:rPr>
                <w:rFonts w:cs="宋体"/>
                <w:bCs/>
                <w:color w:val="000000"/>
                <w:lang w:eastAsia="zh-CN"/>
              </w:rPr>
              <w:t>石油和天然气勘探、开发、运营及其他相关能源业务</w:t>
            </w:r>
            <w:r w:rsidRPr="00336F67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81005D" w:rsidRPr="00370E78" w14:paraId="41E0FC39" w14:textId="77777777" w:rsidTr="0081005D">
        <w:trPr>
          <w:trHeight w:val="2164"/>
        </w:trPr>
        <w:tc>
          <w:tcPr>
            <w:tcW w:w="1940" w:type="dxa"/>
            <w:vMerge/>
            <w:vAlign w:val="center"/>
          </w:tcPr>
          <w:p w14:paraId="53AD84D9" w14:textId="77777777" w:rsidR="0081005D" w:rsidRPr="00370E78" w:rsidRDefault="0081005D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42CE59CA" w14:textId="1BF74851" w:rsidR="0081005D" w:rsidRPr="00370E78" w:rsidRDefault="0081005D" w:rsidP="00E92DC0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val="en-US" w:eastAsia="zh-CN"/>
              </w:rPr>
              <w:t>2.</w:t>
            </w:r>
            <w:r>
              <w:rPr>
                <w:rFonts w:cs="宋体"/>
                <w:bCs/>
                <w:color w:val="000000"/>
                <w:lang w:val="en-US" w:eastAsia="zh-CN"/>
              </w:rPr>
              <w:t xml:space="preserve"> </w:t>
            </w:r>
            <w:r w:rsidR="00A11089">
              <w:rPr>
                <w:rFonts w:cs="宋体" w:hint="eastAsia"/>
                <w:bCs/>
                <w:color w:val="000000"/>
                <w:lang w:val="en-US" w:eastAsia="zh-CN"/>
              </w:rPr>
              <w:t xml:space="preserve">BP </w:t>
            </w:r>
            <w:r w:rsidR="00A11089">
              <w:rPr>
                <w:rFonts w:cs="宋体" w:hint="eastAsia"/>
                <w:bCs/>
                <w:color w:val="000000"/>
                <w:lang w:val="en-US" w:eastAsia="zh-CN"/>
              </w:rPr>
              <w:t>发展</w:t>
            </w:r>
          </w:p>
        </w:tc>
        <w:tc>
          <w:tcPr>
            <w:tcW w:w="6093" w:type="dxa"/>
            <w:vAlign w:val="center"/>
          </w:tcPr>
          <w:p w14:paraId="0D25522A" w14:textId="4F693C51" w:rsidR="00BD6160" w:rsidRPr="00BD6160" w:rsidRDefault="00BD6160" w:rsidP="00BD6160">
            <w:pPr>
              <w:pStyle w:val="BodyText"/>
              <w:adjustRightInd w:val="0"/>
              <w:snapToGrid w:val="0"/>
              <w:spacing w:after="0"/>
              <w:rPr>
                <w:rFonts w:cs="宋体"/>
                <w:color w:val="000000"/>
                <w:lang w:eastAsia="zh-CN"/>
              </w:rPr>
            </w:pPr>
            <w:r w:rsidRPr="00BD6160">
              <w:rPr>
                <w:rFonts w:cs="宋体" w:hint="eastAsia"/>
                <w:color w:val="000000"/>
                <w:lang w:eastAsia="zh-CN"/>
              </w:rPr>
              <w:t xml:space="preserve">BP </w:t>
            </w:r>
            <w:r>
              <w:rPr>
                <w:rFonts w:cs="宋体" w:hint="eastAsia"/>
                <w:color w:val="000000"/>
                <w:lang w:eastAsia="zh-CN"/>
              </w:rPr>
              <w:t>发展</w:t>
            </w:r>
            <w:r w:rsidRPr="00BD6160">
              <w:rPr>
                <w:rFonts w:cs="宋体" w:hint="eastAsia"/>
                <w:color w:val="000000"/>
                <w:lang w:eastAsia="zh-CN"/>
              </w:rPr>
              <w:t>于</w:t>
            </w:r>
            <w:r w:rsidRPr="00BD6160">
              <w:rPr>
                <w:rFonts w:cs="宋体" w:hint="eastAsia"/>
                <w:color w:val="000000"/>
                <w:lang w:eastAsia="zh-CN"/>
              </w:rPr>
              <w:t>1997</w:t>
            </w:r>
            <w:r w:rsidRPr="00BD6160">
              <w:rPr>
                <w:rFonts w:cs="宋体" w:hint="eastAsia"/>
                <w:color w:val="000000"/>
                <w:lang w:eastAsia="zh-CN"/>
              </w:rPr>
              <w:t>年</w:t>
            </w:r>
            <w:r w:rsidRPr="00BD6160">
              <w:rPr>
                <w:rFonts w:cs="宋体" w:hint="eastAsia"/>
                <w:color w:val="000000"/>
                <w:lang w:eastAsia="zh-CN"/>
              </w:rPr>
              <w:t>12</w:t>
            </w:r>
            <w:r w:rsidRPr="00BD6160">
              <w:rPr>
                <w:rFonts w:cs="宋体" w:hint="eastAsia"/>
                <w:color w:val="000000"/>
                <w:lang w:eastAsia="zh-CN"/>
              </w:rPr>
              <w:t>月</w:t>
            </w:r>
            <w:r w:rsidRPr="00BD6160">
              <w:rPr>
                <w:rFonts w:cs="宋体" w:hint="eastAsia"/>
                <w:color w:val="000000"/>
                <w:lang w:eastAsia="zh-CN"/>
              </w:rPr>
              <w:t>18</w:t>
            </w:r>
            <w:r w:rsidRPr="00BD6160">
              <w:rPr>
                <w:rFonts w:cs="宋体" w:hint="eastAsia"/>
                <w:color w:val="000000"/>
                <w:lang w:eastAsia="zh-CN"/>
              </w:rPr>
              <w:t>日在澳大利亚设立</w:t>
            </w:r>
            <w:r w:rsidR="00541DF4">
              <w:rPr>
                <w:rFonts w:cs="宋体" w:hint="eastAsia"/>
                <w:color w:val="000000"/>
                <w:lang w:eastAsia="zh-CN"/>
              </w:rPr>
              <w:t>，</w:t>
            </w:r>
            <w:r w:rsidRPr="00BD6160">
              <w:rPr>
                <w:rFonts w:cs="宋体" w:hint="eastAsia"/>
                <w:color w:val="000000"/>
                <w:lang w:eastAsia="zh-CN"/>
              </w:rPr>
              <w:t>主要从事与澳大利亚油气项目开发、持有及管理相关的业务，并以非运营方的身份参与有关项目。</w:t>
            </w:r>
          </w:p>
          <w:p w14:paraId="6BCDBC11" w14:textId="77777777" w:rsidR="00BD6160" w:rsidRPr="00BD6160" w:rsidRDefault="00BD6160" w:rsidP="00BD6160">
            <w:pPr>
              <w:pStyle w:val="BodyText"/>
              <w:adjustRightInd w:val="0"/>
              <w:snapToGrid w:val="0"/>
              <w:spacing w:after="0"/>
              <w:rPr>
                <w:rFonts w:cs="宋体"/>
                <w:color w:val="000000"/>
                <w:lang w:eastAsia="zh-CN"/>
              </w:rPr>
            </w:pPr>
          </w:p>
          <w:p w14:paraId="1351BD89" w14:textId="0CE7C47C" w:rsidR="00B12550" w:rsidRPr="00D307EC" w:rsidRDefault="000F6EA9" w:rsidP="00D307EC">
            <w:pPr>
              <w:pStyle w:val="BodyText"/>
              <w:spacing w:after="0"/>
              <w:rPr>
                <w:rFonts w:ascii="Arial" w:eastAsia="楷体_GB2312" w:hAnsi="Arial" w:cs="Arial"/>
                <w:b/>
                <w:color w:val="000000"/>
                <w:sz w:val="20"/>
                <w:szCs w:val="20"/>
                <w:lang w:eastAsia="zh-CN"/>
              </w:rPr>
            </w:pPr>
            <w:r w:rsidRPr="00BD6160">
              <w:rPr>
                <w:rFonts w:cs="宋体" w:hint="eastAsia"/>
                <w:color w:val="000000"/>
                <w:lang w:eastAsia="zh-CN"/>
              </w:rPr>
              <w:t xml:space="preserve">BP </w:t>
            </w:r>
            <w:r>
              <w:rPr>
                <w:rFonts w:cs="宋体" w:hint="eastAsia"/>
                <w:color w:val="000000"/>
                <w:lang w:eastAsia="zh-CN"/>
              </w:rPr>
              <w:t>发展</w:t>
            </w:r>
            <w:r w:rsidRPr="00BD6160">
              <w:rPr>
                <w:rFonts w:cs="宋体" w:hint="eastAsia"/>
                <w:color w:val="000000"/>
                <w:lang w:eastAsia="zh-CN"/>
              </w:rPr>
              <w:t>的最终控制人为</w:t>
            </w:r>
            <w:r w:rsidRPr="00BD6160">
              <w:rPr>
                <w:rFonts w:cs="宋体" w:hint="eastAsia"/>
                <w:color w:val="000000"/>
                <w:lang w:eastAsia="zh-CN"/>
              </w:rPr>
              <w:t>BP p.l.c.</w:t>
            </w:r>
            <w:r w:rsidRPr="00BD6160">
              <w:rPr>
                <w:rFonts w:cs="宋体" w:hint="eastAsia"/>
                <w:color w:val="000000"/>
                <w:lang w:eastAsia="zh-CN"/>
              </w:rPr>
              <w:t>（</w:t>
            </w:r>
            <w:r w:rsidR="00D307EC" w:rsidRPr="00D307EC">
              <w:rPr>
                <w:rFonts w:ascii="宋体" w:hAnsi="宋体" w:hint="eastAsia"/>
                <w:color w:val="000000"/>
                <w:lang w:eastAsia="zh-CN"/>
              </w:rPr>
              <w:t>“</w:t>
            </w:r>
            <w:r w:rsidR="00D307EC" w:rsidRPr="00D307EC">
              <w:rPr>
                <w:color w:val="000000"/>
                <w:lang w:eastAsia="zh-CN"/>
              </w:rPr>
              <w:t>bp</w:t>
            </w:r>
            <w:r w:rsidR="00D307EC" w:rsidRPr="00D307EC">
              <w:rPr>
                <w:rFonts w:ascii="宋体" w:hAnsi="宋体" w:hint="eastAsia"/>
                <w:color w:val="000000"/>
                <w:lang w:eastAsia="zh-CN"/>
              </w:rPr>
              <w:t>”）。</w:t>
            </w:r>
            <w:r w:rsidR="00D307EC" w:rsidRPr="00D307EC">
              <w:rPr>
                <w:color w:val="000000"/>
                <w:lang w:eastAsia="zh-CN"/>
              </w:rPr>
              <w:t>bp</w:t>
            </w:r>
            <w:r w:rsidR="00D307EC" w:rsidRPr="00D307EC">
              <w:rPr>
                <w:rFonts w:ascii="宋体" w:hAnsi="宋体" w:hint="eastAsia"/>
                <w:color w:val="000000"/>
                <w:lang w:eastAsia="zh-CN"/>
              </w:rPr>
              <w:t>的主要业务涵盖油气勘探、开发与生产，以及炼油、终端设施运营和终端客户市场业务。</w:t>
            </w:r>
          </w:p>
        </w:tc>
      </w:tr>
      <w:tr w:rsidR="00992759" w:rsidRPr="00370E78" w14:paraId="246B3800" w14:textId="77777777" w:rsidTr="42313BE7">
        <w:trPr>
          <w:trHeight w:val="279"/>
        </w:trPr>
        <w:tc>
          <w:tcPr>
            <w:tcW w:w="1940" w:type="dxa"/>
            <w:vMerge w:val="restart"/>
            <w:shd w:val="clear" w:color="auto" w:fill="D9D9D9" w:themeFill="background1" w:themeFillShade="D9"/>
            <w:vAlign w:val="center"/>
          </w:tcPr>
          <w:p w14:paraId="6F38F8AC" w14:textId="1E8F4140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77A8DE75" w14:textId="34D48AF9" w:rsidR="00992759" w:rsidRPr="00370E78" w:rsidRDefault="0081005D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EE00A4">
              <w:rPr>
                <w:rFonts w:ascii="Wingdings" w:eastAsia="Wingdings" w:hAnsi="Wingdings" w:cs="Wingdings"/>
                <w:bCs/>
                <w:color w:val="000000"/>
                <w:lang w:eastAsia="zh-CN"/>
              </w:rPr>
              <w:t>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1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15%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992759" w:rsidRPr="00370E78" w14:paraId="4B2ED02B" w14:textId="77777777" w:rsidTr="42313BE7">
        <w:trPr>
          <w:trHeight w:val="330"/>
        </w:trPr>
        <w:tc>
          <w:tcPr>
            <w:tcW w:w="1940" w:type="dxa"/>
            <w:vMerge/>
            <w:vAlign w:val="center"/>
          </w:tcPr>
          <w:p w14:paraId="40501777" w14:textId="77777777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BA1044C" w14:textId="63B6BE1E" w:rsidR="00992759" w:rsidRPr="00370E78" w:rsidRDefault="00541DF4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ascii="Wingdings" w:eastAsia="Wingdings" w:hAnsi="Wingdings" w:cs="Wingdings"/>
                <w:bCs/>
                <w:color w:val="000000"/>
                <w:lang w:eastAsia="zh-CN"/>
              </w:rPr>
              <w:sym w:font="Wingdings 2" w:char="F0A3"/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2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25%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992759" w:rsidRPr="00370E78" w14:paraId="36B9FDFB" w14:textId="77777777" w:rsidTr="42313BE7">
        <w:trPr>
          <w:trHeight w:val="285"/>
        </w:trPr>
        <w:tc>
          <w:tcPr>
            <w:tcW w:w="1940" w:type="dxa"/>
            <w:vMerge/>
            <w:vAlign w:val="center"/>
          </w:tcPr>
          <w:p w14:paraId="5DF4E56D" w14:textId="77777777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7125E57" w14:textId="1EA7D893" w:rsidR="00992759" w:rsidRPr="00370E78" w:rsidRDefault="0050048C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50048C">
              <w:rPr>
                <w:rFonts w:ascii="Wingdings" w:eastAsia="Wingdings" w:hAnsi="Wingdings" w:cs="Wingdings"/>
                <w:bCs/>
                <w:color w:val="000000"/>
                <w:lang w:eastAsia="zh-CN"/>
              </w:rPr>
              <w:t>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3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25%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992759" w:rsidRPr="00370E78" w14:paraId="678A8BCD" w14:textId="77777777" w:rsidTr="42313BE7">
        <w:trPr>
          <w:trHeight w:val="870"/>
        </w:trPr>
        <w:tc>
          <w:tcPr>
            <w:tcW w:w="1940" w:type="dxa"/>
            <w:vMerge/>
            <w:vAlign w:val="center"/>
          </w:tcPr>
          <w:p w14:paraId="18515FE0" w14:textId="77777777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4D7D81D" w14:textId="4240C87C" w:rsidR="00992759" w:rsidRPr="00370E78" w:rsidRDefault="00EE00A4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EE00A4">
              <w:rPr>
                <w:rFonts w:ascii="Wingdings" w:eastAsia="Wingdings" w:hAnsi="Wingdings" w:cs="Wingdings"/>
                <w:bCs/>
                <w:color w:val="000000"/>
                <w:lang w:eastAsia="zh-CN"/>
              </w:rPr>
              <w:t>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4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992759" w:rsidRPr="00370E78" w14:paraId="5C7DBCBF" w14:textId="77777777" w:rsidTr="42313BE7">
        <w:trPr>
          <w:trHeight w:val="264"/>
        </w:trPr>
        <w:tc>
          <w:tcPr>
            <w:tcW w:w="1940" w:type="dxa"/>
            <w:vMerge/>
            <w:vAlign w:val="center"/>
          </w:tcPr>
          <w:p w14:paraId="49222B50" w14:textId="77777777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EE46EDC" w14:textId="33787F4D" w:rsidR="00992759" w:rsidRPr="00370E78" w:rsidRDefault="0081005D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EE00A4">
              <w:rPr>
                <w:rFonts w:ascii="Wingdings" w:eastAsia="Wingdings" w:hAnsi="Wingdings" w:cs="Wingdings"/>
                <w:bCs/>
                <w:color w:val="000000"/>
                <w:lang w:eastAsia="zh-CN"/>
              </w:rPr>
              <w:t>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5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992759" w:rsidRPr="00370E78" w14:paraId="4D996C9A" w14:textId="77777777" w:rsidTr="42313BE7">
        <w:trPr>
          <w:trHeight w:val="345"/>
        </w:trPr>
        <w:tc>
          <w:tcPr>
            <w:tcW w:w="1940" w:type="dxa"/>
            <w:vMerge/>
            <w:vAlign w:val="center"/>
          </w:tcPr>
          <w:p w14:paraId="5EBEC885" w14:textId="77777777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81F8E0D" w14:textId="0FBF21BB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ascii="Wingdings" w:eastAsia="Wingdings" w:hAnsi="Wingdings" w:cs="Wingdings" w:hint="eastAsia"/>
                <w:bCs/>
                <w:color w:val="000000"/>
                <w:lang w:eastAsia="zh-CN"/>
              </w:rPr>
              <w:t>o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6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9D4530" w:rsidRPr="00370E78" w14:paraId="65CEA395" w14:textId="77777777" w:rsidTr="42313BE7">
        <w:trPr>
          <w:trHeight w:val="1250"/>
        </w:trPr>
        <w:tc>
          <w:tcPr>
            <w:tcW w:w="1940" w:type="dxa"/>
            <w:shd w:val="clear" w:color="auto" w:fill="D9D9D9" w:themeFill="background1" w:themeFillShade="D9"/>
            <w:vAlign w:val="center"/>
          </w:tcPr>
          <w:p w14:paraId="11E82EA8" w14:textId="77777777" w:rsidR="009D4530" w:rsidRPr="00370E78" w:rsidRDefault="009D4530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72C242F7" w14:textId="4EE4C1C9" w:rsidR="0081005D" w:rsidRPr="0081005D" w:rsidRDefault="0081005D" w:rsidP="0081005D">
            <w:pPr>
              <w:pStyle w:val="BodyText"/>
              <w:adjustRightInd w:val="0"/>
              <w:snapToGrid w:val="0"/>
              <w:spacing w:after="0"/>
              <w:rPr>
                <w:rFonts w:cs="宋体"/>
                <w:b/>
                <w:color w:val="000000"/>
                <w:lang w:eastAsia="zh-CN"/>
              </w:rPr>
            </w:pPr>
            <w:r w:rsidRPr="0081005D">
              <w:rPr>
                <w:rFonts w:cs="宋体" w:hint="eastAsia"/>
                <w:b/>
                <w:color w:val="000000"/>
                <w:lang w:eastAsia="zh-CN"/>
              </w:rPr>
              <w:t>横向重叠：</w:t>
            </w:r>
          </w:p>
          <w:p w14:paraId="218FF205" w14:textId="25E8B353" w:rsidR="0081005D" w:rsidRPr="0081005D" w:rsidRDefault="0081005D" w:rsidP="0081005D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81005D">
              <w:rPr>
                <w:rFonts w:cs="宋体"/>
                <w:bCs/>
                <w:color w:val="000000"/>
                <w:lang w:eastAsia="zh-CN"/>
              </w:rPr>
              <w:t>202</w:t>
            </w:r>
            <w:r w:rsidR="00541DF4">
              <w:rPr>
                <w:rFonts w:cs="宋体" w:hint="eastAsia"/>
                <w:bCs/>
                <w:color w:val="000000"/>
                <w:lang w:eastAsia="zh-CN"/>
              </w:rPr>
              <w:t>5</w:t>
            </w:r>
            <w:r w:rsidR="00213BA0">
              <w:rPr>
                <w:rFonts w:cs="宋体" w:hint="eastAsia"/>
                <w:bCs/>
                <w:color w:val="000000"/>
                <w:lang w:eastAsia="zh-CN"/>
              </w:rPr>
              <w:t>年</w:t>
            </w:r>
            <w:r w:rsidR="00541DF4">
              <w:rPr>
                <w:rFonts w:cs="宋体" w:hint="eastAsia"/>
                <w:bCs/>
                <w:color w:val="000000"/>
                <w:lang w:eastAsia="zh-CN"/>
              </w:rPr>
              <w:t>全球天然气生产和供应</w:t>
            </w:r>
            <w:r w:rsidR="00213BA0">
              <w:rPr>
                <w:rFonts w:cs="宋体" w:hint="eastAsia"/>
                <w:bCs/>
                <w:color w:val="000000"/>
                <w:lang w:eastAsia="zh-CN"/>
              </w:rPr>
              <w:t>市场</w:t>
            </w:r>
          </w:p>
          <w:p w14:paraId="2A44800F" w14:textId="29B3896A" w:rsidR="0081005D" w:rsidRDefault="00967887" w:rsidP="0081005D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WBPL</w:t>
            </w:r>
            <w:r w:rsidR="0081005D" w:rsidRPr="0081005D">
              <w:rPr>
                <w:rFonts w:cs="宋体"/>
                <w:bCs/>
                <w:color w:val="000000"/>
                <w:lang w:eastAsia="zh-CN"/>
              </w:rPr>
              <w:t>: [</w:t>
            </w:r>
            <w:r w:rsidR="00541DF4">
              <w:rPr>
                <w:rFonts w:cs="宋体" w:hint="eastAsia"/>
                <w:bCs/>
                <w:color w:val="000000"/>
                <w:lang w:eastAsia="zh-CN"/>
              </w:rPr>
              <w:t>0-5</w:t>
            </w:r>
            <w:r w:rsidR="0081005D" w:rsidRPr="0081005D">
              <w:rPr>
                <w:rFonts w:cs="宋体"/>
                <w:bCs/>
                <w:color w:val="000000"/>
                <w:lang w:eastAsia="zh-CN"/>
              </w:rPr>
              <w:t xml:space="preserve">]%; </w:t>
            </w:r>
            <w:r>
              <w:rPr>
                <w:rFonts w:cs="宋体" w:hint="eastAsia"/>
                <w:bCs/>
                <w:color w:val="000000"/>
                <w:lang w:eastAsia="zh-CN"/>
              </w:rPr>
              <w:t xml:space="preserve">BP 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发展</w:t>
            </w:r>
            <w:r w:rsidR="000C048A">
              <w:rPr>
                <w:rFonts w:cs="宋体" w:hint="eastAsia"/>
                <w:bCs/>
                <w:color w:val="000000"/>
                <w:lang w:eastAsia="zh-CN"/>
              </w:rPr>
              <w:t>（含目标资产）</w:t>
            </w:r>
            <w:r w:rsidR="0081005D" w:rsidRPr="0081005D">
              <w:rPr>
                <w:rFonts w:cs="宋体"/>
                <w:bCs/>
                <w:color w:val="000000"/>
                <w:lang w:eastAsia="zh-CN"/>
              </w:rPr>
              <w:t xml:space="preserve">: [0-5]%; </w:t>
            </w:r>
            <w:r w:rsidR="00213BA0">
              <w:rPr>
                <w:rFonts w:cs="宋体" w:hint="eastAsia"/>
                <w:bCs/>
                <w:color w:val="000000"/>
                <w:lang w:eastAsia="zh-CN"/>
              </w:rPr>
              <w:t>合计</w:t>
            </w:r>
            <w:r w:rsidR="0081005D" w:rsidRPr="0081005D">
              <w:rPr>
                <w:rFonts w:cs="宋体"/>
                <w:bCs/>
                <w:color w:val="000000"/>
                <w:lang w:eastAsia="zh-CN"/>
              </w:rPr>
              <w:t>: [</w:t>
            </w:r>
            <w:r w:rsidR="00541DF4">
              <w:rPr>
                <w:rFonts w:cs="宋体" w:hint="eastAsia"/>
                <w:bCs/>
                <w:color w:val="000000"/>
                <w:lang w:eastAsia="zh-CN"/>
              </w:rPr>
              <w:t>0-5</w:t>
            </w:r>
            <w:r w:rsidR="0081005D" w:rsidRPr="0081005D">
              <w:rPr>
                <w:rFonts w:cs="宋体"/>
                <w:bCs/>
                <w:color w:val="000000"/>
                <w:lang w:eastAsia="zh-CN"/>
              </w:rPr>
              <w:t>]%</w:t>
            </w:r>
          </w:p>
          <w:p w14:paraId="67D3F384" w14:textId="67AB7714" w:rsidR="00B12550" w:rsidRPr="00B12550" w:rsidRDefault="00B12550" w:rsidP="00B12550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B12550">
              <w:rPr>
                <w:rFonts w:cs="宋体" w:hint="eastAsia"/>
                <w:bCs/>
                <w:color w:val="000000"/>
                <w:lang w:eastAsia="zh-CN"/>
              </w:rPr>
              <w:t>202</w:t>
            </w:r>
            <w:r w:rsidR="00541DF4">
              <w:rPr>
                <w:rFonts w:cs="宋体" w:hint="eastAsia"/>
                <w:bCs/>
                <w:color w:val="000000"/>
                <w:lang w:eastAsia="zh-CN"/>
              </w:rPr>
              <w:t>5</w:t>
            </w:r>
            <w:r w:rsidRPr="00B12550">
              <w:rPr>
                <w:rFonts w:cs="宋体" w:hint="eastAsia"/>
                <w:bCs/>
                <w:color w:val="000000"/>
                <w:lang w:eastAsia="zh-CN"/>
              </w:rPr>
              <w:t>年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中国</w:t>
            </w:r>
            <w:r w:rsidR="00967887">
              <w:rPr>
                <w:rFonts w:cs="宋体" w:hint="eastAsia"/>
                <w:bCs/>
                <w:color w:val="000000"/>
                <w:lang w:eastAsia="zh-CN"/>
              </w:rPr>
              <w:t>进口</w:t>
            </w:r>
            <w:r w:rsidR="00541DF4" w:rsidRPr="00541DF4">
              <w:rPr>
                <w:rFonts w:cs="宋体"/>
                <w:bCs/>
                <w:color w:val="000000"/>
                <w:lang w:eastAsia="zh-CN"/>
              </w:rPr>
              <w:t>天然气</w:t>
            </w:r>
            <w:r w:rsidRPr="00B12550">
              <w:rPr>
                <w:rFonts w:cs="宋体" w:hint="eastAsia"/>
                <w:bCs/>
                <w:color w:val="000000"/>
                <w:lang w:eastAsia="zh-CN"/>
              </w:rPr>
              <w:t>市场</w:t>
            </w:r>
          </w:p>
          <w:p w14:paraId="1352AD4A" w14:textId="67F075CE" w:rsidR="008F1FAE" w:rsidRPr="00370E78" w:rsidRDefault="000C048A" w:rsidP="008F1FAE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WBPL</w:t>
            </w:r>
            <w:r w:rsidR="00541DF4" w:rsidRPr="00541DF4">
              <w:rPr>
                <w:rFonts w:cs="宋体"/>
                <w:bCs/>
                <w:color w:val="000000"/>
                <w:lang w:eastAsia="zh-CN"/>
              </w:rPr>
              <w:t xml:space="preserve">: [0-5]%; </w:t>
            </w:r>
            <w:r>
              <w:rPr>
                <w:rFonts w:cs="宋体" w:hint="eastAsia"/>
                <w:bCs/>
                <w:color w:val="000000"/>
                <w:lang w:eastAsia="zh-CN"/>
              </w:rPr>
              <w:t xml:space="preserve">BP 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发展（含目标资产）</w:t>
            </w:r>
            <w:r w:rsidR="00541DF4" w:rsidRPr="00541DF4">
              <w:rPr>
                <w:rFonts w:cs="宋体"/>
                <w:bCs/>
                <w:color w:val="000000"/>
                <w:lang w:eastAsia="zh-CN"/>
              </w:rPr>
              <w:t>: [5</w:t>
            </w:r>
            <w:r w:rsidR="00CF6CB7">
              <w:rPr>
                <w:rFonts w:cs="宋体" w:hint="eastAsia"/>
                <w:bCs/>
                <w:color w:val="000000"/>
                <w:lang w:eastAsia="zh-CN"/>
              </w:rPr>
              <w:t>-10</w:t>
            </w:r>
            <w:r w:rsidR="00541DF4" w:rsidRPr="00541DF4">
              <w:rPr>
                <w:rFonts w:cs="宋体"/>
                <w:bCs/>
                <w:color w:val="000000"/>
                <w:lang w:eastAsia="zh-CN"/>
              </w:rPr>
              <w:t xml:space="preserve">]%; </w:t>
            </w:r>
            <w:r w:rsidR="00541DF4" w:rsidRPr="00541DF4">
              <w:rPr>
                <w:rFonts w:cs="宋体"/>
                <w:bCs/>
                <w:color w:val="000000"/>
                <w:lang w:eastAsia="zh-CN"/>
              </w:rPr>
              <w:t>合计</w:t>
            </w:r>
            <w:r w:rsidR="00541DF4" w:rsidRPr="00541DF4">
              <w:rPr>
                <w:rFonts w:cs="宋体"/>
                <w:bCs/>
                <w:color w:val="000000"/>
                <w:lang w:eastAsia="zh-CN"/>
              </w:rPr>
              <w:t>: [5</w:t>
            </w:r>
            <w:r w:rsidR="00CF6CB7">
              <w:rPr>
                <w:rFonts w:cs="宋体" w:hint="eastAsia"/>
                <w:bCs/>
                <w:color w:val="000000"/>
                <w:lang w:eastAsia="zh-CN"/>
              </w:rPr>
              <w:t>-10</w:t>
            </w:r>
            <w:r w:rsidR="00541DF4" w:rsidRPr="00541DF4">
              <w:rPr>
                <w:rFonts w:cs="宋体"/>
                <w:bCs/>
                <w:color w:val="000000"/>
                <w:lang w:eastAsia="zh-CN"/>
              </w:rPr>
              <w:t>]%</w:t>
            </w:r>
          </w:p>
        </w:tc>
      </w:tr>
    </w:tbl>
    <w:p w14:paraId="436671B5" w14:textId="77777777" w:rsidR="009D4530" w:rsidRPr="007A2858" w:rsidRDefault="009D4530">
      <w:pPr>
        <w:pStyle w:val="BodyText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0"/>
          <w:szCs w:val="20"/>
          <w:lang w:eastAsia="zh-CN"/>
        </w:rPr>
      </w:pPr>
    </w:p>
    <w:sectPr w:rsidR="009D4530" w:rsidRPr="007A2858">
      <w:headerReference w:type="default" r:id="rId7"/>
      <w:footerReference w:type="default" r:id="rId8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26D38" w14:textId="77777777" w:rsidR="00E508EB" w:rsidRDefault="00E508EB">
      <w:pPr>
        <w:spacing w:after="0"/>
      </w:pPr>
      <w:r>
        <w:separator/>
      </w:r>
    </w:p>
  </w:endnote>
  <w:endnote w:type="continuationSeparator" w:id="0">
    <w:p w14:paraId="3C2A38B3" w14:textId="77777777" w:rsidR="00E508EB" w:rsidRDefault="00E508EB">
      <w:pPr>
        <w:spacing w:after="0"/>
      </w:pPr>
      <w:r>
        <w:continuationSeparator/>
      </w:r>
    </w:p>
  </w:endnote>
  <w:endnote w:type="continuationNotice" w:id="1">
    <w:p w14:paraId="0BE87279" w14:textId="77777777" w:rsidR="00E508EB" w:rsidRDefault="00E508E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9D4530" w14:paraId="0D9B5E04" w14:textId="77777777">
      <w:tc>
        <w:tcPr>
          <w:tcW w:w="3080" w:type="dxa"/>
        </w:tcPr>
        <w:p w14:paraId="7BAEAA96" w14:textId="77777777" w:rsidR="009D4530" w:rsidRDefault="009D4530">
          <w:pPr>
            <w:pStyle w:val="Footer"/>
          </w:pPr>
        </w:p>
      </w:tc>
      <w:tc>
        <w:tcPr>
          <w:tcW w:w="3081" w:type="dxa"/>
        </w:tcPr>
        <w:p w14:paraId="76D33799" w14:textId="77777777" w:rsidR="009D4530" w:rsidRDefault="009D4530">
          <w:pPr>
            <w:pStyle w:val="Footer"/>
            <w:jc w:val="center"/>
            <w:rPr>
              <w:rStyle w:val="PageNumber"/>
              <w:rFonts w:cs="Times New Roman"/>
            </w:rPr>
          </w:pPr>
          <w:r>
            <w:rPr>
              <w:rStyle w:val="PageNumber"/>
              <w:rFonts w:cs="Times New Roman"/>
            </w:rPr>
            <w:t xml:space="preserve">- </w:t>
          </w:r>
          <w:r>
            <w:rPr>
              <w:rStyle w:val="PageNumber"/>
              <w:rFonts w:cs="Times New Roman"/>
            </w:rPr>
            <w:fldChar w:fldCharType="begin"/>
          </w:r>
          <w:r>
            <w:rPr>
              <w:rStyle w:val="PageNumber"/>
              <w:rFonts w:cs="Times New Roman"/>
            </w:rPr>
            <w:instrText xml:space="preserve"> PAGE   \* MERGEFORMAT </w:instrText>
          </w:r>
          <w:r>
            <w:rPr>
              <w:rStyle w:val="PageNumber"/>
              <w:rFonts w:cs="Times New Roman"/>
            </w:rPr>
            <w:fldChar w:fldCharType="separate"/>
          </w:r>
          <w:r>
            <w:rPr>
              <w:rStyle w:val="PageNumber"/>
              <w:rFonts w:cs="Times New Roman"/>
            </w:rPr>
            <w:t>2</w:t>
          </w:r>
          <w:r>
            <w:rPr>
              <w:rStyle w:val="PageNumber"/>
              <w:rFonts w:cs="Times New Roman"/>
            </w:rPr>
            <w:fldChar w:fldCharType="end"/>
          </w:r>
          <w:r>
            <w:rPr>
              <w:rStyle w:val="PageNumber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2008D335" w14:textId="77777777" w:rsidR="009D4530" w:rsidRDefault="009D4530">
          <w:pPr>
            <w:pStyle w:val="FooterRight"/>
          </w:pPr>
        </w:p>
      </w:tc>
    </w:tr>
  </w:tbl>
  <w:p w14:paraId="1C72770D" w14:textId="77777777" w:rsidR="009D4530" w:rsidRDefault="009D45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7A68D" w14:textId="77777777" w:rsidR="00E508EB" w:rsidRDefault="00E508EB">
      <w:pPr>
        <w:spacing w:after="0"/>
      </w:pPr>
      <w:r>
        <w:separator/>
      </w:r>
    </w:p>
  </w:footnote>
  <w:footnote w:type="continuationSeparator" w:id="0">
    <w:p w14:paraId="3D1D9E6D" w14:textId="77777777" w:rsidR="00E508EB" w:rsidRDefault="00E508EB">
      <w:pPr>
        <w:spacing w:after="0"/>
      </w:pPr>
      <w:r>
        <w:continuationSeparator/>
      </w:r>
    </w:p>
  </w:footnote>
  <w:footnote w:type="continuationNotice" w:id="1">
    <w:p w14:paraId="034B75E0" w14:textId="77777777" w:rsidR="00E508EB" w:rsidRDefault="00E508E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A3692" w14:textId="1A397790" w:rsidR="00F47E54" w:rsidRDefault="00F47E54" w:rsidP="00F47E5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775101936">
    <w:abstractNumId w:val="2"/>
  </w:num>
  <w:num w:numId="2" w16cid:durableId="1112749239">
    <w:abstractNumId w:val="0"/>
  </w:num>
  <w:num w:numId="3" w16cid:durableId="1027290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C"/>
    <w:rsid w:val="00002445"/>
    <w:rsid w:val="000024FF"/>
    <w:rsid w:val="000027BD"/>
    <w:rsid w:val="00003A59"/>
    <w:rsid w:val="0000544E"/>
    <w:rsid w:val="0001497F"/>
    <w:rsid w:val="000150B7"/>
    <w:rsid w:val="000154EA"/>
    <w:rsid w:val="00020703"/>
    <w:rsid w:val="00021AB2"/>
    <w:rsid w:val="000222C4"/>
    <w:rsid w:val="000326C8"/>
    <w:rsid w:val="00041C40"/>
    <w:rsid w:val="00041CE6"/>
    <w:rsid w:val="0004292A"/>
    <w:rsid w:val="000467AA"/>
    <w:rsid w:val="00052841"/>
    <w:rsid w:val="00062616"/>
    <w:rsid w:val="00073E6B"/>
    <w:rsid w:val="0007723F"/>
    <w:rsid w:val="00077D60"/>
    <w:rsid w:val="00081F0C"/>
    <w:rsid w:val="00083590"/>
    <w:rsid w:val="00092F4E"/>
    <w:rsid w:val="000956F4"/>
    <w:rsid w:val="00097775"/>
    <w:rsid w:val="000A345E"/>
    <w:rsid w:val="000B58E5"/>
    <w:rsid w:val="000B653C"/>
    <w:rsid w:val="000C048A"/>
    <w:rsid w:val="000C5053"/>
    <w:rsid w:val="000C53C5"/>
    <w:rsid w:val="000C5BC0"/>
    <w:rsid w:val="000C6953"/>
    <w:rsid w:val="000D3AB3"/>
    <w:rsid w:val="000E29A9"/>
    <w:rsid w:val="000E3A81"/>
    <w:rsid w:val="000E5FE7"/>
    <w:rsid w:val="000F6EA9"/>
    <w:rsid w:val="00107E19"/>
    <w:rsid w:val="00110793"/>
    <w:rsid w:val="00115F62"/>
    <w:rsid w:val="00123E26"/>
    <w:rsid w:val="00123EA1"/>
    <w:rsid w:val="00132767"/>
    <w:rsid w:val="00136343"/>
    <w:rsid w:val="0014200F"/>
    <w:rsid w:val="0014284C"/>
    <w:rsid w:val="00142CA5"/>
    <w:rsid w:val="00145B05"/>
    <w:rsid w:val="00151256"/>
    <w:rsid w:val="00161051"/>
    <w:rsid w:val="001639D8"/>
    <w:rsid w:val="00165746"/>
    <w:rsid w:val="001675A3"/>
    <w:rsid w:val="00172770"/>
    <w:rsid w:val="00186A05"/>
    <w:rsid w:val="00187026"/>
    <w:rsid w:val="001912C2"/>
    <w:rsid w:val="001965E2"/>
    <w:rsid w:val="00196662"/>
    <w:rsid w:val="001A1C58"/>
    <w:rsid w:val="001A5BA2"/>
    <w:rsid w:val="001B3349"/>
    <w:rsid w:val="001B4EA1"/>
    <w:rsid w:val="001C3D01"/>
    <w:rsid w:val="001C5840"/>
    <w:rsid w:val="001C7276"/>
    <w:rsid w:val="001D1555"/>
    <w:rsid w:val="001D6168"/>
    <w:rsid w:val="001E0F1F"/>
    <w:rsid w:val="001E2C6F"/>
    <w:rsid w:val="001E3226"/>
    <w:rsid w:val="001F16EC"/>
    <w:rsid w:val="001F212E"/>
    <w:rsid w:val="001F2FAE"/>
    <w:rsid w:val="001F346E"/>
    <w:rsid w:val="001F35AA"/>
    <w:rsid w:val="001F367B"/>
    <w:rsid w:val="001F4A05"/>
    <w:rsid w:val="001F7F24"/>
    <w:rsid w:val="001F7F66"/>
    <w:rsid w:val="001F7FEC"/>
    <w:rsid w:val="00201897"/>
    <w:rsid w:val="002049B7"/>
    <w:rsid w:val="00213BA0"/>
    <w:rsid w:val="002145A1"/>
    <w:rsid w:val="00223218"/>
    <w:rsid w:val="00224A7C"/>
    <w:rsid w:val="002278D1"/>
    <w:rsid w:val="00231665"/>
    <w:rsid w:val="00231AED"/>
    <w:rsid w:val="002320BC"/>
    <w:rsid w:val="00233737"/>
    <w:rsid w:val="00236639"/>
    <w:rsid w:val="002403B5"/>
    <w:rsid w:val="00245281"/>
    <w:rsid w:val="00250E61"/>
    <w:rsid w:val="002516B8"/>
    <w:rsid w:val="002533D2"/>
    <w:rsid w:val="00261F94"/>
    <w:rsid w:val="00264877"/>
    <w:rsid w:val="002677A0"/>
    <w:rsid w:val="00267941"/>
    <w:rsid w:val="002727F3"/>
    <w:rsid w:val="002764EB"/>
    <w:rsid w:val="00285671"/>
    <w:rsid w:val="00286959"/>
    <w:rsid w:val="00287E91"/>
    <w:rsid w:val="00291652"/>
    <w:rsid w:val="002964A1"/>
    <w:rsid w:val="002A25F2"/>
    <w:rsid w:val="002A7291"/>
    <w:rsid w:val="002A7C26"/>
    <w:rsid w:val="002C2A03"/>
    <w:rsid w:val="002D4391"/>
    <w:rsid w:val="002D7975"/>
    <w:rsid w:val="002E0B7D"/>
    <w:rsid w:val="002F09A7"/>
    <w:rsid w:val="002F5271"/>
    <w:rsid w:val="00301BD5"/>
    <w:rsid w:val="00306B88"/>
    <w:rsid w:val="00310488"/>
    <w:rsid w:val="00311263"/>
    <w:rsid w:val="00317280"/>
    <w:rsid w:val="003211B6"/>
    <w:rsid w:val="00336CF5"/>
    <w:rsid w:val="00336F67"/>
    <w:rsid w:val="0034075D"/>
    <w:rsid w:val="0034107F"/>
    <w:rsid w:val="00344D27"/>
    <w:rsid w:val="00345EE1"/>
    <w:rsid w:val="00352492"/>
    <w:rsid w:val="003540C8"/>
    <w:rsid w:val="0035604C"/>
    <w:rsid w:val="00370E78"/>
    <w:rsid w:val="00371332"/>
    <w:rsid w:val="00371A75"/>
    <w:rsid w:val="003771E5"/>
    <w:rsid w:val="00380B2F"/>
    <w:rsid w:val="003850D4"/>
    <w:rsid w:val="00385F00"/>
    <w:rsid w:val="003866EF"/>
    <w:rsid w:val="00394AE1"/>
    <w:rsid w:val="003A4565"/>
    <w:rsid w:val="003A5B9A"/>
    <w:rsid w:val="003B066E"/>
    <w:rsid w:val="003B27EC"/>
    <w:rsid w:val="003B2F86"/>
    <w:rsid w:val="003B4439"/>
    <w:rsid w:val="003B4C9E"/>
    <w:rsid w:val="003B4FF1"/>
    <w:rsid w:val="003B7CBC"/>
    <w:rsid w:val="003C0F65"/>
    <w:rsid w:val="003C2554"/>
    <w:rsid w:val="003C3456"/>
    <w:rsid w:val="003E3B57"/>
    <w:rsid w:val="003E4032"/>
    <w:rsid w:val="003E73DB"/>
    <w:rsid w:val="00403327"/>
    <w:rsid w:val="004067A3"/>
    <w:rsid w:val="00410914"/>
    <w:rsid w:val="004119F5"/>
    <w:rsid w:val="00411A0C"/>
    <w:rsid w:val="0041316D"/>
    <w:rsid w:val="004166B2"/>
    <w:rsid w:val="004175B4"/>
    <w:rsid w:val="00417AB5"/>
    <w:rsid w:val="004203EF"/>
    <w:rsid w:val="00425920"/>
    <w:rsid w:val="00427E52"/>
    <w:rsid w:val="00432493"/>
    <w:rsid w:val="0043581A"/>
    <w:rsid w:val="00446353"/>
    <w:rsid w:val="00446F44"/>
    <w:rsid w:val="00446FCE"/>
    <w:rsid w:val="0044707C"/>
    <w:rsid w:val="00447164"/>
    <w:rsid w:val="0044739B"/>
    <w:rsid w:val="00451725"/>
    <w:rsid w:val="004543AC"/>
    <w:rsid w:val="00456E57"/>
    <w:rsid w:val="00464458"/>
    <w:rsid w:val="00466711"/>
    <w:rsid w:val="00467A6B"/>
    <w:rsid w:val="00475F7F"/>
    <w:rsid w:val="00481F5E"/>
    <w:rsid w:val="0048351F"/>
    <w:rsid w:val="00483C85"/>
    <w:rsid w:val="004846A7"/>
    <w:rsid w:val="0049203E"/>
    <w:rsid w:val="00492D72"/>
    <w:rsid w:val="00494CED"/>
    <w:rsid w:val="0049707A"/>
    <w:rsid w:val="004973DB"/>
    <w:rsid w:val="0049771A"/>
    <w:rsid w:val="004A2925"/>
    <w:rsid w:val="004A4BF1"/>
    <w:rsid w:val="004B4D3E"/>
    <w:rsid w:val="004C21B9"/>
    <w:rsid w:val="004C3420"/>
    <w:rsid w:val="004C6B44"/>
    <w:rsid w:val="004C705B"/>
    <w:rsid w:val="004D018B"/>
    <w:rsid w:val="004D124C"/>
    <w:rsid w:val="004D180D"/>
    <w:rsid w:val="004D4435"/>
    <w:rsid w:val="004D53DB"/>
    <w:rsid w:val="004D5D77"/>
    <w:rsid w:val="004D6220"/>
    <w:rsid w:val="004D7A09"/>
    <w:rsid w:val="0050048C"/>
    <w:rsid w:val="00501D37"/>
    <w:rsid w:val="0051292A"/>
    <w:rsid w:val="00512A53"/>
    <w:rsid w:val="00515612"/>
    <w:rsid w:val="005168C9"/>
    <w:rsid w:val="0052362B"/>
    <w:rsid w:val="00523905"/>
    <w:rsid w:val="00523E5C"/>
    <w:rsid w:val="005251B9"/>
    <w:rsid w:val="00530BB4"/>
    <w:rsid w:val="00535E36"/>
    <w:rsid w:val="00541DF4"/>
    <w:rsid w:val="00545A47"/>
    <w:rsid w:val="005544A2"/>
    <w:rsid w:val="0057004E"/>
    <w:rsid w:val="0057200D"/>
    <w:rsid w:val="00574247"/>
    <w:rsid w:val="00591CEC"/>
    <w:rsid w:val="005A31C9"/>
    <w:rsid w:val="005A5EA4"/>
    <w:rsid w:val="005A6C8C"/>
    <w:rsid w:val="005B0CEB"/>
    <w:rsid w:val="005B18A3"/>
    <w:rsid w:val="005B2A1C"/>
    <w:rsid w:val="005B4795"/>
    <w:rsid w:val="005B5A01"/>
    <w:rsid w:val="005D277C"/>
    <w:rsid w:val="005D2EE8"/>
    <w:rsid w:val="005D3152"/>
    <w:rsid w:val="005D6D17"/>
    <w:rsid w:val="005D70CF"/>
    <w:rsid w:val="005E170F"/>
    <w:rsid w:val="005E4D0D"/>
    <w:rsid w:val="005E7B2F"/>
    <w:rsid w:val="005F4439"/>
    <w:rsid w:val="005F5280"/>
    <w:rsid w:val="005F7223"/>
    <w:rsid w:val="00603DA6"/>
    <w:rsid w:val="0060413B"/>
    <w:rsid w:val="00605EE6"/>
    <w:rsid w:val="0060669E"/>
    <w:rsid w:val="00607660"/>
    <w:rsid w:val="006148B9"/>
    <w:rsid w:val="00614EBB"/>
    <w:rsid w:val="0061583E"/>
    <w:rsid w:val="00617BCA"/>
    <w:rsid w:val="00630B5A"/>
    <w:rsid w:val="0063149C"/>
    <w:rsid w:val="00632159"/>
    <w:rsid w:val="00645B6A"/>
    <w:rsid w:val="0064624D"/>
    <w:rsid w:val="00647CB4"/>
    <w:rsid w:val="00653479"/>
    <w:rsid w:val="00655225"/>
    <w:rsid w:val="00664174"/>
    <w:rsid w:val="006643EA"/>
    <w:rsid w:val="00671448"/>
    <w:rsid w:val="00672AE2"/>
    <w:rsid w:val="0067348D"/>
    <w:rsid w:val="006745A9"/>
    <w:rsid w:val="00680C16"/>
    <w:rsid w:val="0068175E"/>
    <w:rsid w:val="00682729"/>
    <w:rsid w:val="00690D46"/>
    <w:rsid w:val="006A17BD"/>
    <w:rsid w:val="006A4459"/>
    <w:rsid w:val="006A5776"/>
    <w:rsid w:val="006B4541"/>
    <w:rsid w:val="006B4808"/>
    <w:rsid w:val="006C0B53"/>
    <w:rsid w:val="006C2999"/>
    <w:rsid w:val="006C2B18"/>
    <w:rsid w:val="006D1E2B"/>
    <w:rsid w:val="006E0D98"/>
    <w:rsid w:val="006E18EE"/>
    <w:rsid w:val="006E3180"/>
    <w:rsid w:val="006E6E26"/>
    <w:rsid w:val="006E70AA"/>
    <w:rsid w:val="006F3DF3"/>
    <w:rsid w:val="006F70F9"/>
    <w:rsid w:val="006F7A98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51420"/>
    <w:rsid w:val="00760A40"/>
    <w:rsid w:val="007674D7"/>
    <w:rsid w:val="00767CB6"/>
    <w:rsid w:val="00772298"/>
    <w:rsid w:val="007734A6"/>
    <w:rsid w:val="00776F32"/>
    <w:rsid w:val="0078322A"/>
    <w:rsid w:val="007858DA"/>
    <w:rsid w:val="0079007D"/>
    <w:rsid w:val="00794062"/>
    <w:rsid w:val="007944AA"/>
    <w:rsid w:val="00796333"/>
    <w:rsid w:val="00797584"/>
    <w:rsid w:val="007A2858"/>
    <w:rsid w:val="007A2D94"/>
    <w:rsid w:val="007A41F5"/>
    <w:rsid w:val="007B2294"/>
    <w:rsid w:val="007B651A"/>
    <w:rsid w:val="007B6ED8"/>
    <w:rsid w:val="007B75E4"/>
    <w:rsid w:val="007C512C"/>
    <w:rsid w:val="007C698B"/>
    <w:rsid w:val="007D2BCD"/>
    <w:rsid w:val="007E0A46"/>
    <w:rsid w:val="007E2608"/>
    <w:rsid w:val="007F1726"/>
    <w:rsid w:val="007F1DB3"/>
    <w:rsid w:val="0080200E"/>
    <w:rsid w:val="00802C6E"/>
    <w:rsid w:val="00803A33"/>
    <w:rsid w:val="0080400E"/>
    <w:rsid w:val="008051ED"/>
    <w:rsid w:val="0081005D"/>
    <w:rsid w:val="00810B10"/>
    <w:rsid w:val="00811775"/>
    <w:rsid w:val="008132FE"/>
    <w:rsid w:val="008168E9"/>
    <w:rsid w:val="008244DB"/>
    <w:rsid w:val="008248B2"/>
    <w:rsid w:val="00833F1D"/>
    <w:rsid w:val="008345AC"/>
    <w:rsid w:val="00834D88"/>
    <w:rsid w:val="00835E39"/>
    <w:rsid w:val="0084008B"/>
    <w:rsid w:val="00850FA7"/>
    <w:rsid w:val="008570D5"/>
    <w:rsid w:val="00864085"/>
    <w:rsid w:val="00866D68"/>
    <w:rsid w:val="00867FE0"/>
    <w:rsid w:val="00873226"/>
    <w:rsid w:val="008803D0"/>
    <w:rsid w:val="00880F24"/>
    <w:rsid w:val="008836AF"/>
    <w:rsid w:val="008847B9"/>
    <w:rsid w:val="00885C9B"/>
    <w:rsid w:val="00893879"/>
    <w:rsid w:val="008A2037"/>
    <w:rsid w:val="008A51FF"/>
    <w:rsid w:val="008B2172"/>
    <w:rsid w:val="008B3C0A"/>
    <w:rsid w:val="008B3C48"/>
    <w:rsid w:val="008B4176"/>
    <w:rsid w:val="008B658A"/>
    <w:rsid w:val="008C02AE"/>
    <w:rsid w:val="008C0694"/>
    <w:rsid w:val="008C0D86"/>
    <w:rsid w:val="008D3FDF"/>
    <w:rsid w:val="008D4ED8"/>
    <w:rsid w:val="008D644E"/>
    <w:rsid w:val="008D6621"/>
    <w:rsid w:val="008D7901"/>
    <w:rsid w:val="008E5565"/>
    <w:rsid w:val="008E5BCA"/>
    <w:rsid w:val="008E5ECA"/>
    <w:rsid w:val="008F1D6B"/>
    <w:rsid w:val="008F1FAE"/>
    <w:rsid w:val="008F7B8A"/>
    <w:rsid w:val="009022B0"/>
    <w:rsid w:val="00905F4A"/>
    <w:rsid w:val="00912383"/>
    <w:rsid w:val="00912401"/>
    <w:rsid w:val="009145E4"/>
    <w:rsid w:val="00917747"/>
    <w:rsid w:val="0092140E"/>
    <w:rsid w:val="0092634A"/>
    <w:rsid w:val="009301D9"/>
    <w:rsid w:val="00930B94"/>
    <w:rsid w:val="00936205"/>
    <w:rsid w:val="0094346F"/>
    <w:rsid w:val="00943F02"/>
    <w:rsid w:val="00953187"/>
    <w:rsid w:val="0095498C"/>
    <w:rsid w:val="009551E9"/>
    <w:rsid w:val="009559C3"/>
    <w:rsid w:val="00956643"/>
    <w:rsid w:val="009605CA"/>
    <w:rsid w:val="00961BFA"/>
    <w:rsid w:val="0096333E"/>
    <w:rsid w:val="00964243"/>
    <w:rsid w:val="0096547A"/>
    <w:rsid w:val="009668EC"/>
    <w:rsid w:val="00967887"/>
    <w:rsid w:val="00977C3B"/>
    <w:rsid w:val="00986DE4"/>
    <w:rsid w:val="009901B5"/>
    <w:rsid w:val="00991F2E"/>
    <w:rsid w:val="00992759"/>
    <w:rsid w:val="009A0BCC"/>
    <w:rsid w:val="009A2EFA"/>
    <w:rsid w:val="009A57C5"/>
    <w:rsid w:val="009A6CD4"/>
    <w:rsid w:val="009A6E66"/>
    <w:rsid w:val="009B0211"/>
    <w:rsid w:val="009B059E"/>
    <w:rsid w:val="009B17D8"/>
    <w:rsid w:val="009C16F8"/>
    <w:rsid w:val="009C1DE7"/>
    <w:rsid w:val="009C3639"/>
    <w:rsid w:val="009C5625"/>
    <w:rsid w:val="009C5962"/>
    <w:rsid w:val="009C74BD"/>
    <w:rsid w:val="009D0999"/>
    <w:rsid w:val="009D13C6"/>
    <w:rsid w:val="009D4530"/>
    <w:rsid w:val="009D68E1"/>
    <w:rsid w:val="009F0698"/>
    <w:rsid w:val="00A05705"/>
    <w:rsid w:val="00A07EFB"/>
    <w:rsid w:val="00A11089"/>
    <w:rsid w:val="00A16F03"/>
    <w:rsid w:val="00A21136"/>
    <w:rsid w:val="00A3323A"/>
    <w:rsid w:val="00A343B7"/>
    <w:rsid w:val="00A37232"/>
    <w:rsid w:val="00A37BCF"/>
    <w:rsid w:val="00A4535F"/>
    <w:rsid w:val="00A46C66"/>
    <w:rsid w:val="00A46FAF"/>
    <w:rsid w:val="00A52D6E"/>
    <w:rsid w:val="00A54FE7"/>
    <w:rsid w:val="00A5674A"/>
    <w:rsid w:val="00A57E7F"/>
    <w:rsid w:val="00A623EF"/>
    <w:rsid w:val="00A64F91"/>
    <w:rsid w:val="00A71AFA"/>
    <w:rsid w:val="00A72A43"/>
    <w:rsid w:val="00A72C46"/>
    <w:rsid w:val="00A7438D"/>
    <w:rsid w:val="00A74797"/>
    <w:rsid w:val="00A7601D"/>
    <w:rsid w:val="00A81984"/>
    <w:rsid w:val="00A8435B"/>
    <w:rsid w:val="00A85661"/>
    <w:rsid w:val="00A868E9"/>
    <w:rsid w:val="00A94227"/>
    <w:rsid w:val="00A9467E"/>
    <w:rsid w:val="00AA0F23"/>
    <w:rsid w:val="00AA3E2F"/>
    <w:rsid w:val="00AA46CA"/>
    <w:rsid w:val="00AA535B"/>
    <w:rsid w:val="00AA5F00"/>
    <w:rsid w:val="00AC3273"/>
    <w:rsid w:val="00AC68C4"/>
    <w:rsid w:val="00AD310D"/>
    <w:rsid w:val="00AD3D4D"/>
    <w:rsid w:val="00AD47B8"/>
    <w:rsid w:val="00AD5DE0"/>
    <w:rsid w:val="00AE0807"/>
    <w:rsid w:val="00AE0BC6"/>
    <w:rsid w:val="00AE4069"/>
    <w:rsid w:val="00AE7916"/>
    <w:rsid w:val="00AF0794"/>
    <w:rsid w:val="00AF09EA"/>
    <w:rsid w:val="00AF1D6D"/>
    <w:rsid w:val="00AF24A2"/>
    <w:rsid w:val="00AF5632"/>
    <w:rsid w:val="00AF6B25"/>
    <w:rsid w:val="00B04913"/>
    <w:rsid w:val="00B07BC2"/>
    <w:rsid w:val="00B11857"/>
    <w:rsid w:val="00B12550"/>
    <w:rsid w:val="00B13AFE"/>
    <w:rsid w:val="00B2169A"/>
    <w:rsid w:val="00B228FF"/>
    <w:rsid w:val="00B266CA"/>
    <w:rsid w:val="00B31D4D"/>
    <w:rsid w:val="00B334FD"/>
    <w:rsid w:val="00B35EDE"/>
    <w:rsid w:val="00B3616B"/>
    <w:rsid w:val="00B37633"/>
    <w:rsid w:val="00B40143"/>
    <w:rsid w:val="00B40A9E"/>
    <w:rsid w:val="00B46A4E"/>
    <w:rsid w:val="00B518C9"/>
    <w:rsid w:val="00B52EAC"/>
    <w:rsid w:val="00B54969"/>
    <w:rsid w:val="00B60439"/>
    <w:rsid w:val="00B7054D"/>
    <w:rsid w:val="00B80B9E"/>
    <w:rsid w:val="00B838DA"/>
    <w:rsid w:val="00B83FD9"/>
    <w:rsid w:val="00B850A6"/>
    <w:rsid w:val="00B86E3A"/>
    <w:rsid w:val="00B90E28"/>
    <w:rsid w:val="00BA017F"/>
    <w:rsid w:val="00BC1BC6"/>
    <w:rsid w:val="00BD1ABD"/>
    <w:rsid w:val="00BD5117"/>
    <w:rsid w:val="00BD535F"/>
    <w:rsid w:val="00BD5905"/>
    <w:rsid w:val="00BD6160"/>
    <w:rsid w:val="00BE0C9C"/>
    <w:rsid w:val="00BE6E64"/>
    <w:rsid w:val="00BF31B7"/>
    <w:rsid w:val="00BF4F99"/>
    <w:rsid w:val="00BF502C"/>
    <w:rsid w:val="00BF7937"/>
    <w:rsid w:val="00C03116"/>
    <w:rsid w:val="00C10048"/>
    <w:rsid w:val="00C20A9A"/>
    <w:rsid w:val="00C24077"/>
    <w:rsid w:val="00C30E9B"/>
    <w:rsid w:val="00C410C3"/>
    <w:rsid w:val="00C424FC"/>
    <w:rsid w:val="00C4333F"/>
    <w:rsid w:val="00C51ECC"/>
    <w:rsid w:val="00C600D9"/>
    <w:rsid w:val="00C64BD2"/>
    <w:rsid w:val="00C64DCF"/>
    <w:rsid w:val="00C67ADA"/>
    <w:rsid w:val="00C7797E"/>
    <w:rsid w:val="00C810E8"/>
    <w:rsid w:val="00C82ECB"/>
    <w:rsid w:val="00C847C2"/>
    <w:rsid w:val="00C941AA"/>
    <w:rsid w:val="00C94B18"/>
    <w:rsid w:val="00C95B69"/>
    <w:rsid w:val="00C97F03"/>
    <w:rsid w:val="00CA2759"/>
    <w:rsid w:val="00CA6613"/>
    <w:rsid w:val="00CB3DF7"/>
    <w:rsid w:val="00CC4D63"/>
    <w:rsid w:val="00CC64A7"/>
    <w:rsid w:val="00CC69AD"/>
    <w:rsid w:val="00CD7B79"/>
    <w:rsid w:val="00CE069D"/>
    <w:rsid w:val="00CF1664"/>
    <w:rsid w:val="00CF5A8A"/>
    <w:rsid w:val="00CF6BC5"/>
    <w:rsid w:val="00CF6CB7"/>
    <w:rsid w:val="00D01278"/>
    <w:rsid w:val="00D12AB1"/>
    <w:rsid w:val="00D175D7"/>
    <w:rsid w:val="00D23B36"/>
    <w:rsid w:val="00D26CE2"/>
    <w:rsid w:val="00D27AEB"/>
    <w:rsid w:val="00D27EE3"/>
    <w:rsid w:val="00D307EC"/>
    <w:rsid w:val="00D37E75"/>
    <w:rsid w:val="00D44C7C"/>
    <w:rsid w:val="00D47F69"/>
    <w:rsid w:val="00D53BAE"/>
    <w:rsid w:val="00D57781"/>
    <w:rsid w:val="00D57DBA"/>
    <w:rsid w:val="00D57EBC"/>
    <w:rsid w:val="00D604A8"/>
    <w:rsid w:val="00D6113D"/>
    <w:rsid w:val="00D6280E"/>
    <w:rsid w:val="00D71F76"/>
    <w:rsid w:val="00D77095"/>
    <w:rsid w:val="00D80573"/>
    <w:rsid w:val="00D84404"/>
    <w:rsid w:val="00D87050"/>
    <w:rsid w:val="00D94BB1"/>
    <w:rsid w:val="00D954C0"/>
    <w:rsid w:val="00D961C9"/>
    <w:rsid w:val="00D97B80"/>
    <w:rsid w:val="00DA1D73"/>
    <w:rsid w:val="00DB2761"/>
    <w:rsid w:val="00DB2FF6"/>
    <w:rsid w:val="00DB524F"/>
    <w:rsid w:val="00DC1C3E"/>
    <w:rsid w:val="00DC6DC6"/>
    <w:rsid w:val="00DD0E0C"/>
    <w:rsid w:val="00DD7765"/>
    <w:rsid w:val="00DE3C70"/>
    <w:rsid w:val="00DE522D"/>
    <w:rsid w:val="00E0710B"/>
    <w:rsid w:val="00E120B6"/>
    <w:rsid w:val="00E23955"/>
    <w:rsid w:val="00E3548D"/>
    <w:rsid w:val="00E35DF6"/>
    <w:rsid w:val="00E36DF6"/>
    <w:rsid w:val="00E417DF"/>
    <w:rsid w:val="00E42BC6"/>
    <w:rsid w:val="00E45218"/>
    <w:rsid w:val="00E47327"/>
    <w:rsid w:val="00E508EB"/>
    <w:rsid w:val="00E5224C"/>
    <w:rsid w:val="00E61592"/>
    <w:rsid w:val="00E63DCC"/>
    <w:rsid w:val="00E66EBD"/>
    <w:rsid w:val="00E70A4F"/>
    <w:rsid w:val="00E736B8"/>
    <w:rsid w:val="00E7385D"/>
    <w:rsid w:val="00E7502A"/>
    <w:rsid w:val="00E774D9"/>
    <w:rsid w:val="00E86579"/>
    <w:rsid w:val="00E90A19"/>
    <w:rsid w:val="00E92DC0"/>
    <w:rsid w:val="00E974F8"/>
    <w:rsid w:val="00EA79DA"/>
    <w:rsid w:val="00EC37FE"/>
    <w:rsid w:val="00EC5358"/>
    <w:rsid w:val="00EC636E"/>
    <w:rsid w:val="00EC7E55"/>
    <w:rsid w:val="00ED0EA6"/>
    <w:rsid w:val="00ED14FA"/>
    <w:rsid w:val="00ED6F93"/>
    <w:rsid w:val="00EE00A4"/>
    <w:rsid w:val="00EE1B4C"/>
    <w:rsid w:val="00EE7CB8"/>
    <w:rsid w:val="00EF16FB"/>
    <w:rsid w:val="00EF34E6"/>
    <w:rsid w:val="00EF428F"/>
    <w:rsid w:val="00F02216"/>
    <w:rsid w:val="00F0291C"/>
    <w:rsid w:val="00F04AB6"/>
    <w:rsid w:val="00F101DD"/>
    <w:rsid w:val="00F14193"/>
    <w:rsid w:val="00F14D59"/>
    <w:rsid w:val="00F169B7"/>
    <w:rsid w:val="00F1745F"/>
    <w:rsid w:val="00F20CCE"/>
    <w:rsid w:val="00F2101B"/>
    <w:rsid w:val="00F333E6"/>
    <w:rsid w:val="00F34AF4"/>
    <w:rsid w:val="00F3614E"/>
    <w:rsid w:val="00F43B32"/>
    <w:rsid w:val="00F47E54"/>
    <w:rsid w:val="00F54AAB"/>
    <w:rsid w:val="00F56870"/>
    <w:rsid w:val="00F576E0"/>
    <w:rsid w:val="00F6440C"/>
    <w:rsid w:val="00F7182A"/>
    <w:rsid w:val="00F738D9"/>
    <w:rsid w:val="00F8302C"/>
    <w:rsid w:val="00F901CF"/>
    <w:rsid w:val="00F906EF"/>
    <w:rsid w:val="00F913ED"/>
    <w:rsid w:val="00F95DD4"/>
    <w:rsid w:val="00FB1CCD"/>
    <w:rsid w:val="00FB33FD"/>
    <w:rsid w:val="00FB5E84"/>
    <w:rsid w:val="00FB645E"/>
    <w:rsid w:val="00FC35ED"/>
    <w:rsid w:val="00FD0B8B"/>
    <w:rsid w:val="00FD6CD9"/>
    <w:rsid w:val="00FD7E19"/>
    <w:rsid w:val="00FE20D9"/>
    <w:rsid w:val="00FE344A"/>
    <w:rsid w:val="00FE6B3A"/>
    <w:rsid w:val="00FF5963"/>
    <w:rsid w:val="00FF69E5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313BE7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02A4B"/>
  <w15:chartTrackingRefBased/>
  <w15:docId w15:val="{12BEF550-E1BA-46CD-956E-9E1F24356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40"/>
      <w:jc w:val="both"/>
    </w:pPr>
    <w:rPr>
      <w:sz w:val="24"/>
      <w:szCs w:val="24"/>
      <w:lang w:bidi="ar-AE"/>
    </w:rPr>
  </w:style>
  <w:style w:type="paragraph" w:styleId="Heading1">
    <w:name w:val="heading 1"/>
    <w:basedOn w:val="Normal"/>
    <w:next w:val="Normal"/>
    <w:link w:val="Heading1Char"/>
    <w:qFormat/>
    <w:pPr>
      <w:outlineLvl w:val="0"/>
    </w:pPr>
    <w:rPr>
      <w:rFonts w:cs="Simplified Arabic"/>
    </w:rPr>
  </w:style>
  <w:style w:type="paragraph" w:styleId="Heading2">
    <w:name w:val="heading 2"/>
    <w:basedOn w:val="Normal"/>
    <w:next w:val="BodyText"/>
    <w:link w:val="Heading2Char"/>
    <w:qFormat/>
    <w:pPr>
      <w:outlineLvl w:val="1"/>
    </w:pPr>
    <w:rPr>
      <w:rFonts w:cs="Simplified Arabic"/>
    </w:rPr>
  </w:style>
  <w:style w:type="paragraph" w:styleId="Heading3">
    <w:name w:val="heading 3"/>
    <w:basedOn w:val="Heading2"/>
    <w:next w:val="BodyText"/>
    <w:link w:val="Heading3Char"/>
    <w:qFormat/>
    <w:pPr>
      <w:outlineLvl w:val="2"/>
    </w:pPr>
  </w:style>
  <w:style w:type="paragraph" w:styleId="Heading4">
    <w:name w:val="heading 4"/>
    <w:basedOn w:val="Normal"/>
    <w:next w:val="BodyText"/>
    <w:link w:val="Heading4Char"/>
    <w:qFormat/>
    <w:pPr>
      <w:outlineLvl w:val="3"/>
    </w:pPr>
    <w:rPr>
      <w:rFonts w:cs="Simplified Arabic"/>
    </w:rPr>
  </w:style>
  <w:style w:type="paragraph" w:styleId="Heading5">
    <w:name w:val="heading 5"/>
    <w:basedOn w:val="Normal"/>
    <w:next w:val="BodyText"/>
    <w:link w:val="Heading5Char"/>
    <w:qFormat/>
    <w:pPr>
      <w:outlineLvl w:val="4"/>
    </w:pPr>
    <w:rPr>
      <w:rFonts w:cs="Simplified Arabic"/>
    </w:rPr>
  </w:style>
  <w:style w:type="paragraph" w:styleId="Heading6">
    <w:name w:val="heading 6"/>
    <w:basedOn w:val="Normal"/>
    <w:next w:val="BodyText"/>
    <w:link w:val="Heading6Char"/>
    <w:qFormat/>
    <w:pPr>
      <w:outlineLvl w:val="5"/>
    </w:pPr>
    <w:rPr>
      <w:rFonts w:cs="Simplified Arabic"/>
    </w:rPr>
  </w:style>
  <w:style w:type="paragraph" w:styleId="Heading7">
    <w:name w:val="heading 7"/>
    <w:basedOn w:val="Normal"/>
    <w:next w:val="BodyText"/>
    <w:link w:val="Heading7Char"/>
    <w:qFormat/>
    <w:pPr>
      <w:outlineLvl w:val="6"/>
    </w:pPr>
    <w:rPr>
      <w:rFonts w:cs="Simplified Arabic"/>
    </w:rPr>
  </w:style>
  <w:style w:type="paragraph" w:styleId="Heading8">
    <w:name w:val="heading 8"/>
    <w:basedOn w:val="Normal"/>
    <w:next w:val="BodyText"/>
    <w:link w:val="Heading8Char"/>
    <w:qFormat/>
    <w:pPr>
      <w:outlineLvl w:val="7"/>
    </w:pPr>
    <w:rPr>
      <w:rFonts w:cs="Simplified Arabic"/>
    </w:rPr>
  </w:style>
  <w:style w:type="paragraph" w:styleId="Heading9">
    <w:name w:val="heading 9"/>
    <w:basedOn w:val="Normal"/>
    <w:next w:val="BodyText"/>
    <w:link w:val="Heading9Char"/>
    <w:qFormat/>
    <w:pPr>
      <w:outlineLvl w:val="8"/>
    </w:pPr>
    <w:rPr>
      <w:rFonts w:cs="Simplified Arab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bidi="ar-AE"/>
    </w:rPr>
  </w:style>
  <w:style w:type="character" w:customStyle="1" w:styleId="MacroTextChar">
    <w:name w:val="Macro Text Char"/>
    <w:link w:val="MacroText"/>
    <w:rPr>
      <w:rFonts w:ascii="Courier New" w:hAnsi="Courier New" w:cs="Courier New"/>
      <w:lang w:val="en-GB" w:eastAsia="zh-CN" w:bidi="ar-AE"/>
    </w:rPr>
  </w:style>
  <w:style w:type="character" w:customStyle="1" w:styleId="Heading1Char">
    <w:name w:val="Heading 1 Char"/>
    <w:link w:val="Heading1"/>
    <w:rPr>
      <w:sz w:val="24"/>
      <w:szCs w:val="24"/>
      <w:lang w:bidi="ar-AE"/>
    </w:rPr>
  </w:style>
  <w:style w:type="character" w:customStyle="1" w:styleId="Heading2Char">
    <w:name w:val="Heading 2 Char"/>
    <w:link w:val="Heading2"/>
    <w:rPr>
      <w:sz w:val="24"/>
      <w:szCs w:val="24"/>
      <w:lang w:bidi="ar-AE"/>
    </w:rPr>
  </w:style>
  <w:style w:type="paragraph" w:styleId="BodyText">
    <w:name w:val="Body Text"/>
    <w:basedOn w:val="Normal"/>
    <w:link w:val="BodyTextChar"/>
    <w:rPr>
      <w:rFonts w:cs="Simplified Arabic"/>
      <w:lang w:eastAsia="en-GB"/>
    </w:rPr>
  </w:style>
  <w:style w:type="character" w:customStyle="1" w:styleId="BodyTextChar">
    <w:name w:val="Body Text Char"/>
    <w:link w:val="BodyText"/>
    <w:rPr>
      <w:sz w:val="24"/>
      <w:szCs w:val="24"/>
      <w:lang w:eastAsia="en-GB" w:bidi="ar-AE"/>
    </w:rPr>
  </w:style>
  <w:style w:type="character" w:customStyle="1" w:styleId="Heading3Char">
    <w:name w:val="Heading 3 Char"/>
    <w:link w:val="Heading3"/>
    <w:rPr>
      <w:sz w:val="24"/>
      <w:szCs w:val="24"/>
      <w:lang w:bidi="ar-AE"/>
    </w:rPr>
  </w:style>
  <w:style w:type="character" w:customStyle="1" w:styleId="Heading4Char">
    <w:name w:val="Heading 4 Char"/>
    <w:link w:val="Heading4"/>
    <w:rPr>
      <w:sz w:val="24"/>
      <w:szCs w:val="24"/>
      <w:lang w:bidi="ar-AE"/>
    </w:rPr>
  </w:style>
  <w:style w:type="character" w:customStyle="1" w:styleId="Heading5Char">
    <w:name w:val="Heading 5 Char"/>
    <w:link w:val="Heading5"/>
    <w:rPr>
      <w:sz w:val="24"/>
      <w:szCs w:val="24"/>
      <w:lang w:bidi="ar-AE"/>
    </w:rPr>
  </w:style>
  <w:style w:type="character" w:customStyle="1" w:styleId="Heading6Char">
    <w:name w:val="Heading 6 Char"/>
    <w:link w:val="Heading6"/>
    <w:rPr>
      <w:sz w:val="24"/>
      <w:szCs w:val="24"/>
      <w:lang w:bidi="ar-AE"/>
    </w:rPr>
  </w:style>
  <w:style w:type="character" w:customStyle="1" w:styleId="Heading7Char">
    <w:name w:val="Heading 7 Char"/>
    <w:link w:val="Heading7"/>
    <w:rPr>
      <w:sz w:val="24"/>
      <w:szCs w:val="24"/>
      <w:lang w:bidi="ar-AE"/>
    </w:rPr>
  </w:style>
  <w:style w:type="character" w:customStyle="1" w:styleId="Heading8Char">
    <w:name w:val="Heading 8 Char"/>
    <w:link w:val="Heading8"/>
    <w:rPr>
      <w:sz w:val="24"/>
      <w:szCs w:val="24"/>
      <w:lang w:bidi="ar-AE"/>
    </w:rPr>
  </w:style>
  <w:style w:type="character" w:customStyle="1" w:styleId="Heading9Char">
    <w:name w:val="Heading 9 Char"/>
    <w:link w:val="Heading9"/>
    <w:rPr>
      <w:sz w:val="24"/>
      <w:szCs w:val="24"/>
      <w:lang w:bidi="ar-AE"/>
    </w:r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TOC7">
    <w:name w:val="toc 7"/>
    <w:basedOn w:val="Normal"/>
    <w:next w:val="Normal"/>
    <w:pPr>
      <w:ind w:left="1440"/>
    </w:pPr>
  </w:style>
  <w:style w:type="paragraph" w:styleId="TableofAuthorities">
    <w:name w:val="table of authorities"/>
    <w:basedOn w:val="Normal"/>
    <w:next w:val="Normal"/>
    <w:pPr>
      <w:ind w:left="240" w:hanging="240"/>
    </w:pPr>
  </w:style>
  <w:style w:type="paragraph" w:styleId="NoteHeading">
    <w:name w:val="Note Heading"/>
    <w:basedOn w:val="Normal"/>
    <w:next w:val="Normal"/>
    <w:link w:val="NoteHeadingChar"/>
    <w:rPr>
      <w:rFonts w:cs="Simplified Arabic"/>
    </w:rPr>
  </w:style>
  <w:style w:type="character" w:customStyle="1" w:styleId="NoteHeadingChar">
    <w:name w:val="Note Heading Char"/>
    <w:link w:val="NoteHeading"/>
    <w:rPr>
      <w:sz w:val="24"/>
      <w:szCs w:val="24"/>
      <w:lang w:bidi="ar-AE"/>
    </w:rPr>
  </w:style>
  <w:style w:type="paragraph" w:styleId="Index8">
    <w:name w:val="index 8"/>
    <w:basedOn w:val="Normal"/>
    <w:next w:val="Normal"/>
    <w:pPr>
      <w:ind w:left="1920" w:hanging="240"/>
    </w:pPr>
  </w:style>
  <w:style w:type="paragraph" w:styleId="E-mailSignature">
    <w:name w:val="E-mail Signature"/>
    <w:basedOn w:val="Normal"/>
    <w:link w:val="E-mailSignatureChar"/>
    <w:rPr>
      <w:rFonts w:cs="Simplified Arabic"/>
    </w:rPr>
  </w:style>
  <w:style w:type="character" w:customStyle="1" w:styleId="E-mailSignatureChar">
    <w:name w:val="E-mail Signature Char"/>
    <w:link w:val="E-mailSignature"/>
    <w:rPr>
      <w:sz w:val="24"/>
      <w:szCs w:val="24"/>
      <w:lang w:bidi="ar-AE"/>
    </w:rPr>
  </w:style>
  <w:style w:type="paragraph" w:styleId="NormalIndent">
    <w:name w:val="Normal Indent"/>
    <w:basedOn w:val="Normal"/>
    <w:pPr>
      <w:ind w:left="720"/>
    </w:pPr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Index5">
    <w:name w:val="index 5"/>
    <w:basedOn w:val="Normal"/>
    <w:next w:val="Normal"/>
    <w:pPr>
      <w:ind w:left="1200" w:hanging="24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DocumentMap">
    <w:name w:val="Document Map"/>
    <w:basedOn w:val="Normal"/>
    <w:link w:val="DocumentMapChar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Pr>
      <w:rFonts w:ascii="Tahoma" w:hAnsi="Tahoma" w:cs="Tahoma"/>
      <w:sz w:val="16"/>
      <w:szCs w:val="16"/>
      <w:lang w:bidi="ar-AE"/>
    </w:rPr>
  </w:style>
  <w:style w:type="paragraph" w:styleId="TOAHeading">
    <w:name w:val="toa heading"/>
    <w:basedOn w:val="Normal"/>
    <w:next w:val="Normal"/>
    <w:pPr>
      <w:spacing w:before="120"/>
    </w:pPr>
    <w:rPr>
      <w:rFonts w:cs="Simplified Arabic"/>
      <w:b/>
      <w:bCs/>
    </w:rPr>
  </w:style>
  <w:style w:type="paragraph" w:styleId="CommentText">
    <w:name w:val="annotation text"/>
    <w:basedOn w:val="Normal"/>
    <w:link w:val="CommentTextChar"/>
    <w:pPr>
      <w:spacing w:after="120"/>
    </w:pPr>
    <w:rPr>
      <w:rFonts w:cs="Simplified Arabic"/>
      <w:sz w:val="20"/>
      <w:szCs w:val="20"/>
    </w:rPr>
  </w:style>
  <w:style w:type="character" w:customStyle="1" w:styleId="CommentTextChar">
    <w:name w:val="Comment Text Char"/>
    <w:link w:val="CommentText"/>
    <w:rPr>
      <w:lang w:bidi="ar-AE"/>
    </w:rPr>
  </w:style>
  <w:style w:type="paragraph" w:styleId="Index6">
    <w:name w:val="index 6"/>
    <w:basedOn w:val="Normal"/>
    <w:next w:val="Normal"/>
    <w:pPr>
      <w:ind w:left="1440" w:hanging="240"/>
    </w:pPr>
  </w:style>
  <w:style w:type="paragraph" w:styleId="Salutation">
    <w:name w:val="Salutation"/>
    <w:basedOn w:val="Normal"/>
    <w:next w:val="Normal"/>
    <w:link w:val="SalutationChar"/>
    <w:rPr>
      <w:rFonts w:cs="Simplified Arabic"/>
    </w:rPr>
  </w:style>
  <w:style w:type="character" w:customStyle="1" w:styleId="SalutationChar">
    <w:name w:val="Salutation Char"/>
    <w:link w:val="Salutation"/>
    <w:rPr>
      <w:sz w:val="24"/>
      <w:szCs w:val="24"/>
      <w:lang w:bidi="ar-AE"/>
    </w:rPr>
  </w:style>
  <w:style w:type="paragraph" w:styleId="BodyText3">
    <w:name w:val="Body Text 3"/>
    <w:basedOn w:val="Normal"/>
    <w:link w:val="BodyText3Char"/>
    <w:pPr>
      <w:ind w:left="2160"/>
    </w:pPr>
    <w:rPr>
      <w:rFonts w:cs="Simplified Arabic"/>
      <w:lang w:eastAsia="en-GB"/>
    </w:rPr>
  </w:style>
  <w:style w:type="character" w:customStyle="1" w:styleId="BodyText3Char">
    <w:name w:val="Body Text 3 Char"/>
    <w:link w:val="BodyText3"/>
    <w:rPr>
      <w:sz w:val="24"/>
      <w:szCs w:val="24"/>
      <w:lang w:eastAsia="en-GB" w:bidi="ar-AE"/>
    </w:rPr>
  </w:style>
  <w:style w:type="paragraph" w:styleId="Closing">
    <w:name w:val="Closing"/>
    <w:basedOn w:val="Normal"/>
    <w:link w:val="ClosingChar"/>
    <w:pPr>
      <w:ind w:left="4320"/>
    </w:pPr>
    <w:rPr>
      <w:rFonts w:cs="Simplified Arabic"/>
    </w:rPr>
  </w:style>
  <w:style w:type="character" w:customStyle="1" w:styleId="ClosingChar">
    <w:name w:val="Closing Char"/>
    <w:link w:val="Closing"/>
    <w:rPr>
      <w:sz w:val="24"/>
      <w:szCs w:val="24"/>
      <w:lang w:bidi="ar-AE"/>
    </w:rPr>
  </w:style>
  <w:style w:type="paragraph" w:styleId="BodyTextIndent">
    <w:name w:val="Body Text Indent"/>
    <w:basedOn w:val="Normal"/>
    <w:link w:val="BodyTextIndentChar"/>
    <w:pPr>
      <w:spacing w:after="120"/>
      <w:ind w:left="283"/>
    </w:pPr>
    <w:rPr>
      <w:rFonts w:cs="Simplified Arabic"/>
    </w:rPr>
  </w:style>
  <w:style w:type="character" w:customStyle="1" w:styleId="BodyTextIndentChar">
    <w:name w:val="Body Text Indent Char"/>
    <w:link w:val="BodyTextIndent"/>
    <w:rPr>
      <w:sz w:val="24"/>
      <w:szCs w:val="24"/>
      <w:lang w:bidi="ar-AE"/>
    </w:r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HTMLAddress">
    <w:name w:val="HTML Address"/>
    <w:basedOn w:val="Normal"/>
    <w:link w:val="HTMLAddressChar"/>
    <w:rPr>
      <w:rFonts w:cs="Simplified Arabic"/>
      <w:i/>
      <w:iCs/>
    </w:rPr>
  </w:style>
  <w:style w:type="character" w:customStyle="1" w:styleId="HTMLAddressChar">
    <w:name w:val="HTML Address Char"/>
    <w:link w:val="HTMLAddress"/>
    <w:rPr>
      <w:i/>
      <w:iCs/>
      <w:sz w:val="24"/>
      <w:szCs w:val="24"/>
      <w:lang w:bidi="ar-AE"/>
    </w:rPr>
  </w:style>
  <w:style w:type="paragraph" w:styleId="Index4">
    <w:name w:val="index 4"/>
    <w:basedOn w:val="Normal"/>
    <w:next w:val="Normal"/>
    <w:pPr>
      <w:ind w:left="960" w:hanging="240"/>
    </w:pPr>
  </w:style>
  <w:style w:type="paragraph" w:styleId="TOC5">
    <w:name w:val="toc 5"/>
    <w:basedOn w:val="Normal"/>
    <w:next w:val="Normal"/>
    <w:pPr>
      <w:ind w:left="960"/>
    </w:pPr>
  </w:style>
  <w:style w:type="paragraph" w:styleId="TOC3">
    <w:name w:val="toc 3"/>
    <w:basedOn w:val="Normal"/>
    <w:next w:val="Normal"/>
    <w:pPr>
      <w:ind w:left="480"/>
    </w:pPr>
  </w:style>
  <w:style w:type="paragraph" w:styleId="PlainText">
    <w:name w:val="Plain Text"/>
    <w:basedOn w:val="Normal"/>
    <w:link w:val="PlainTextChar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rPr>
      <w:rFonts w:ascii="Courier New" w:hAnsi="Courier New" w:cs="Courier New"/>
      <w:lang w:bidi="ar-AE"/>
    </w:rPr>
  </w:style>
  <w:style w:type="paragraph" w:styleId="TOC8">
    <w:name w:val="toc 8"/>
    <w:basedOn w:val="Normal"/>
    <w:next w:val="Normal"/>
    <w:pPr>
      <w:ind w:left="1680"/>
    </w:pPr>
  </w:style>
  <w:style w:type="paragraph" w:styleId="Index3">
    <w:name w:val="index 3"/>
    <w:basedOn w:val="Normal"/>
    <w:next w:val="Normal"/>
    <w:pPr>
      <w:ind w:left="720" w:hanging="240"/>
    </w:pPr>
  </w:style>
  <w:style w:type="paragraph" w:styleId="Date">
    <w:name w:val="Date"/>
    <w:basedOn w:val="Normal"/>
    <w:next w:val="Normal"/>
    <w:link w:val="DateChar"/>
    <w:rPr>
      <w:rFonts w:cs="Simplified Arabic"/>
    </w:rPr>
  </w:style>
  <w:style w:type="character" w:customStyle="1" w:styleId="DateChar">
    <w:name w:val="Date Char"/>
    <w:link w:val="Date"/>
    <w:rPr>
      <w:sz w:val="24"/>
      <w:szCs w:val="24"/>
      <w:lang w:bidi="ar-AE"/>
    </w:rPr>
  </w:style>
  <w:style w:type="paragraph" w:styleId="BodyTextIndent2">
    <w:name w:val="Body Text Indent 2"/>
    <w:basedOn w:val="Normal"/>
    <w:link w:val="BodyTextIndent2Char"/>
    <w:pPr>
      <w:spacing w:after="120"/>
      <w:ind w:left="360"/>
    </w:pPr>
    <w:rPr>
      <w:rFonts w:cs="Simplified Arabic"/>
    </w:rPr>
  </w:style>
  <w:style w:type="character" w:customStyle="1" w:styleId="BodyTextIndent2Char">
    <w:name w:val="Body Text Indent 2 Char"/>
    <w:link w:val="BodyTextIndent2"/>
    <w:rPr>
      <w:sz w:val="24"/>
      <w:szCs w:val="24"/>
      <w:lang w:bidi="ar-AE"/>
    </w:rPr>
  </w:style>
  <w:style w:type="paragraph" w:styleId="EndnoteText">
    <w:name w:val="endnote text"/>
    <w:basedOn w:val="Normal"/>
    <w:next w:val="Normal"/>
    <w:link w:val="End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EndnoteTextChar">
    <w:name w:val="Endnote Text Char"/>
    <w:link w:val="EndnoteText"/>
    <w:rPr>
      <w:lang w:bidi="ar-AE"/>
    </w:rPr>
  </w:style>
  <w:style w:type="paragraph" w:styleId="ListContinue5">
    <w:name w:val="List Continue 5"/>
    <w:basedOn w:val="Normal"/>
    <w:pPr>
      <w:spacing w:after="120"/>
      <w:ind w:left="1800"/>
      <w:contextualSpacing/>
    </w:pPr>
  </w:style>
  <w:style w:type="paragraph" w:styleId="BalloonText">
    <w:name w:val="Balloon Text"/>
    <w:basedOn w:val="Normal"/>
    <w:link w:val="BalloonTextChar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bidi="ar-AE"/>
    </w:rPr>
  </w:style>
  <w:style w:type="paragraph" w:styleId="Footer">
    <w:name w:val="footer"/>
    <w:link w:val="FooterChar"/>
    <w:rPr>
      <w:sz w:val="16"/>
      <w:szCs w:val="16"/>
      <w:lang w:bidi="he-IL"/>
    </w:rPr>
  </w:style>
  <w:style w:type="character" w:customStyle="1" w:styleId="FooterChar">
    <w:name w:val="Footer Char"/>
    <w:link w:val="Footer"/>
    <w:rPr>
      <w:sz w:val="16"/>
      <w:szCs w:val="16"/>
      <w:lang w:val="en-GB" w:eastAsia="zh-CN" w:bidi="he-IL"/>
    </w:rPr>
  </w:style>
  <w:style w:type="paragraph" w:styleId="EnvelopeReturn">
    <w:name w:val="envelope return"/>
    <w:basedOn w:val="Normal"/>
    <w:rPr>
      <w:rFonts w:cs="Simplified Arabic"/>
      <w:sz w:val="20"/>
      <w:szCs w:val="20"/>
    </w:rPr>
  </w:style>
  <w:style w:type="paragraph" w:styleId="Header">
    <w:name w:val="header"/>
    <w:link w:val="HeaderChar"/>
    <w:uiPriority w:val="99"/>
    <w:pPr>
      <w:jc w:val="both"/>
    </w:pPr>
    <w:rPr>
      <w:sz w:val="24"/>
      <w:szCs w:val="24"/>
      <w:lang w:bidi="he-IL"/>
    </w:rPr>
  </w:style>
  <w:style w:type="character" w:customStyle="1" w:styleId="HeaderChar">
    <w:name w:val="Header Char"/>
    <w:link w:val="Header"/>
    <w:uiPriority w:val="99"/>
    <w:rPr>
      <w:sz w:val="24"/>
      <w:szCs w:val="24"/>
      <w:lang w:val="en-GB" w:eastAsia="zh-CN" w:bidi="he-IL"/>
    </w:rPr>
  </w:style>
  <w:style w:type="paragraph" w:styleId="Signature">
    <w:name w:val="Signature"/>
    <w:basedOn w:val="Normal"/>
    <w:link w:val="SignatureChar"/>
    <w:pPr>
      <w:ind w:left="4320"/>
    </w:pPr>
    <w:rPr>
      <w:rFonts w:cs="Simplified Arabic"/>
    </w:rPr>
  </w:style>
  <w:style w:type="character" w:customStyle="1" w:styleId="SignatureChar">
    <w:name w:val="Signature Char"/>
    <w:link w:val="Signature"/>
    <w:rPr>
      <w:sz w:val="24"/>
      <w:szCs w:val="24"/>
      <w:lang w:bidi="ar-AE"/>
    </w:rPr>
  </w:style>
  <w:style w:type="paragraph" w:styleId="TOC1">
    <w:name w:val="toc 1"/>
    <w:basedOn w:val="Normal"/>
    <w:next w:val="BodyText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ListContinue4">
    <w:name w:val="List Continue 4"/>
    <w:basedOn w:val="Normal"/>
    <w:pPr>
      <w:spacing w:after="120"/>
      <w:ind w:left="1440"/>
      <w:contextualSpacing/>
    </w:pPr>
  </w:style>
  <w:style w:type="paragraph" w:styleId="TOC4">
    <w:name w:val="toc 4"/>
    <w:basedOn w:val="Normal"/>
    <w:next w:val="Normal"/>
    <w:pPr>
      <w:ind w:left="720"/>
    </w:pPr>
  </w:style>
  <w:style w:type="paragraph" w:styleId="IndexHeading">
    <w:name w:val="index heading"/>
    <w:basedOn w:val="Normal"/>
    <w:next w:val="Normal"/>
    <w:rPr>
      <w:b/>
      <w:bCs/>
    </w:rPr>
  </w:style>
  <w:style w:type="paragraph" w:styleId="Subtitle">
    <w:name w:val="Subtitle"/>
    <w:basedOn w:val="Normal"/>
    <w:next w:val="BodyText"/>
    <w:link w:val="SubtitleChar"/>
    <w:qFormat/>
    <w:pPr>
      <w:jc w:val="center"/>
    </w:pPr>
    <w:rPr>
      <w:rFonts w:cs="Simplified Arabic"/>
    </w:rPr>
  </w:style>
  <w:style w:type="character" w:customStyle="1" w:styleId="SubtitleChar">
    <w:name w:val="Subtitle Char"/>
    <w:link w:val="Subtitle"/>
    <w:rPr>
      <w:sz w:val="24"/>
      <w:szCs w:val="24"/>
      <w:lang w:bidi="ar-AE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FootnoteText">
    <w:name w:val="footnote text"/>
    <w:basedOn w:val="Normal"/>
    <w:next w:val="Normal"/>
    <w:link w:val="Foot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FootnoteTextChar">
    <w:name w:val="Footnote Text Char"/>
    <w:link w:val="FootnoteText"/>
    <w:rPr>
      <w:lang w:bidi="ar-AE"/>
    </w:rPr>
  </w:style>
  <w:style w:type="paragraph" w:styleId="TOC6">
    <w:name w:val="toc 6"/>
    <w:basedOn w:val="Normal"/>
    <w:next w:val="Normal"/>
    <w:pPr>
      <w:ind w:left="1200"/>
    </w:pPr>
  </w:style>
  <w:style w:type="paragraph" w:styleId="List5">
    <w:name w:val="List 5"/>
    <w:basedOn w:val="Normal"/>
    <w:pPr>
      <w:ind w:left="1800" w:hanging="360"/>
      <w:contextualSpacing/>
    </w:p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BodyTextIndent3Char">
    <w:name w:val="Body Text Indent 3 Char"/>
    <w:link w:val="BodyTextIndent3"/>
    <w:rPr>
      <w:sz w:val="16"/>
      <w:szCs w:val="16"/>
      <w:lang w:bidi="ar-AE"/>
    </w:rPr>
  </w:style>
  <w:style w:type="paragraph" w:styleId="Index7">
    <w:name w:val="index 7"/>
    <w:basedOn w:val="Normal"/>
    <w:next w:val="Normal"/>
    <w:pPr>
      <w:ind w:left="1680" w:hanging="240"/>
    </w:pPr>
  </w:style>
  <w:style w:type="paragraph" w:styleId="Index9">
    <w:name w:val="index 9"/>
    <w:basedOn w:val="Normal"/>
    <w:next w:val="Normal"/>
    <w:pPr>
      <w:ind w:left="2160" w:hanging="240"/>
    </w:pPr>
  </w:style>
  <w:style w:type="paragraph" w:styleId="TableofFigures">
    <w:name w:val="table of figures"/>
    <w:basedOn w:val="Normal"/>
    <w:next w:val="Normal"/>
  </w:style>
  <w:style w:type="paragraph" w:styleId="TOC2">
    <w:name w:val="toc 2"/>
    <w:basedOn w:val="Normal"/>
    <w:next w:val="BodyText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Normal"/>
    <w:next w:val="Normal"/>
    <w:pPr>
      <w:ind w:left="1920"/>
    </w:pPr>
  </w:style>
  <w:style w:type="paragraph" w:styleId="BodyText2">
    <w:name w:val="Body Text 2"/>
    <w:basedOn w:val="Normal"/>
    <w:link w:val="BodyText2Char"/>
    <w:pPr>
      <w:ind w:left="1440"/>
    </w:pPr>
    <w:rPr>
      <w:rFonts w:cs="Simplified Arabic"/>
      <w:lang w:eastAsia="en-GB"/>
    </w:rPr>
  </w:style>
  <w:style w:type="character" w:customStyle="1" w:styleId="BodyText2Char">
    <w:name w:val="Body Text 2 Char"/>
    <w:link w:val="BodyText2"/>
    <w:rPr>
      <w:sz w:val="24"/>
      <w:szCs w:val="24"/>
      <w:lang w:eastAsia="en-GB" w:bidi="ar-AE"/>
    </w:rPr>
  </w:style>
  <w:style w:type="paragraph" w:styleId="List4">
    <w:name w:val="List 4"/>
    <w:basedOn w:val="Normal"/>
    <w:pPr>
      <w:ind w:left="1440" w:hanging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MessageHeader">
    <w:name w:val="Message Header"/>
    <w:basedOn w:val="Normal"/>
    <w:link w:val="MessageHeaderChar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MessageHeaderChar">
    <w:name w:val="Message Header Char"/>
    <w:link w:val="MessageHeader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Preformatted">
    <w:name w:val="HTML Preformatted"/>
    <w:basedOn w:val="Normal"/>
    <w:link w:val="HTMLPreformattedChar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Pr>
      <w:rFonts w:ascii="Courier New" w:hAnsi="Courier New" w:cs="Courier New"/>
      <w:lang w:bidi="ar-AE"/>
    </w:rPr>
  </w:style>
  <w:style w:type="paragraph" w:styleId="NormalWeb">
    <w:name w:val="Normal (Web)"/>
    <w:basedOn w:val="Normal"/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Index1">
    <w:name w:val="index 1"/>
    <w:basedOn w:val="Normal"/>
    <w:next w:val="Normal"/>
    <w:pPr>
      <w:ind w:left="240" w:hanging="240"/>
    </w:pPr>
  </w:style>
  <w:style w:type="paragraph" w:styleId="Index2">
    <w:name w:val="index 2"/>
    <w:basedOn w:val="Normal"/>
    <w:next w:val="Normal"/>
    <w:pPr>
      <w:ind w:left="480" w:hanging="240"/>
    </w:pPr>
  </w:style>
  <w:style w:type="paragraph" w:styleId="Title">
    <w:name w:val="Title"/>
    <w:basedOn w:val="Normal"/>
    <w:next w:val="BodyText"/>
    <w:link w:val="TitleChar"/>
    <w:qFormat/>
    <w:pPr>
      <w:jc w:val="center"/>
    </w:pPr>
    <w:rPr>
      <w:rFonts w:cs="Simplified Arabic"/>
      <w:b/>
      <w:bCs/>
    </w:rPr>
  </w:style>
  <w:style w:type="character" w:customStyle="1" w:styleId="TitleChar">
    <w:name w:val="Title Char"/>
    <w:link w:val="Title"/>
    <w:rPr>
      <w:b/>
      <w:bCs/>
      <w:sz w:val="24"/>
      <w:szCs w:val="24"/>
      <w:lang w:bidi="ar-AE"/>
    </w:rPr>
  </w:style>
  <w:style w:type="paragraph" w:styleId="CommentSubject">
    <w:name w:val="annotation subject"/>
    <w:basedOn w:val="CommentText"/>
    <w:next w:val="CommentText"/>
    <w:link w:val="CommentSubjectChar"/>
    <w:pPr>
      <w:spacing w:after="240"/>
    </w:pPr>
    <w:rPr>
      <w:b/>
      <w:bCs/>
    </w:rPr>
  </w:style>
  <w:style w:type="character" w:customStyle="1" w:styleId="CommentSubjectChar">
    <w:name w:val="Comment Subject Char"/>
    <w:link w:val="CommentSubject"/>
    <w:rPr>
      <w:b/>
      <w:bCs/>
      <w:lang w:bidi="ar-AE"/>
    </w:rPr>
  </w:style>
  <w:style w:type="paragraph" w:styleId="BodyTextFirstIndent">
    <w:name w:val="Body Text First Indent"/>
    <w:basedOn w:val="BodyText"/>
    <w:link w:val="BodyTextFirstIndentChar"/>
    <w:pPr>
      <w:ind w:firstLine="720"/>
    </w:pPr>
  </w:style>
  <w:style w:type="character" w:customStyle="1" w:styleId="BodyTextFirstIndentChar">
    <w:name w:val="Body Text First Indent Char"/>
    <w:link w:val="BodyTextFirstIndent"/>
    <w:rPr>
      <w:sz w:val="24"/>
      <w:szCs w:val="24"/>
      <w:lang w:eastAsia="en-GB" w:bidi="ar-AE"/>
    </w:rPr>
  </w:style>
  <w:style w:type="paragraph" w:styleId="BodyTextFirstIndent2">
    <w:name w:val="Body Text First Indent 2"/>
    <w:basedOn w:val="BodyTextFirstIndent"/>
    <w:link w:val="BodyTextFirstIndent2Char"/>
    <w:pPr>
      <w:ind w:firstLine="1440"/>
    </w:pPr>
  </w:style>
  <w:style w:type="character" w:customStyle="1" w:styleId="BodyTextFirstIndent2Char">
    <w:name w:val="Body Text First Indent 2 Char"/>
    <w:link w:val="BodyTextFirstIndent2"/>
    <w:rPr>
      <w:sz w:val="24"/>
      <w:szCs w:val="24"/>
      <w:lang w:eastAsia="en-GB" w:bidi="ar-AE"/>
    </w:r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Theme">
    <w:name w:val="Table Theme"/>
    <w:basedOn w:val="TableNormal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orful1">
    <w:name w:val="Table Colorful 1"/>
    <w:basedOn w:val="TableNormal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Elegant">
    <w:name w:val="Table Elegant"/>
    <w:basedOn w:val="TableNormal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1">
    <w:name w:val="Table Simple 1"/>
    <w:basedOn w:val="TableNormal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1">
    <w:name w:val="Table 3D effects 1"/>
    <w:basedOn w:val="TableNormal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TableContemporary">
    <w:name w:val="Table Contemporary"/>
    <w:basedOn w:val="TableNormal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TableColumns1">
    <w:name w:val="Table Columns 1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1">
    <w:name w:val="Table Grid 1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1">
    <w:name w:val="Table Web 1"/>
    <w:basedOn w:val="TableNormal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Professional">
    <w:name w:val="Table Professional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LightShading-Accent2">
    <w:name w:val="Light Shading Accent 2"/>
    <w:basedOn w:val="TableNormal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ghtShading-Accent3">
    <w:name w:val="Light Shading Accent 3"/>
    <w:basedOn w:val="TableNormal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ghtShading-Accent4">
    <w:name w:val="Light Shading Accent 4"/>
    <w:basedOn w:val="TableNormal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ghtShading-Accent5">
    <w:name w:val="Light Shading Accent 5"/>
    <w:basedOn w:val="TableNormal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ghtShading-Accent6">
    <w:name w:val="Light Shading Accent 6"/>
    <w:basedOn w:val="TableNormal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LightList-Accent2">
    <w:name w:val="Light List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LightList-Accent4">
    <w:name w:val="Light List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LightList-Accent5">
    <w:name w:val="Light List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LightList-Accent6">
    <w:name w:val="Light List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LightGrid-Accent2">
    <w:name w:val="Light Grid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LightGrid-Accent3">
    <w:name w:val="Light Grid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LightGrid-Accent4">
    <w:name w:val="Light Grid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LightGrid-Accent5">
    <w:name w:val="Light Grid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LightGrid-Accent6">
    <w:name w:val="Light Grid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MediumShading1-Accent2">
    <w:name w:val="Medium Shading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Shading1-Accent3">
    <w:name w:val="Medium Shading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Shading1-Accent4">
    <w:name w:val="Medium Shading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Shading1-Accent5">
    <w:name w:val="Medium Shading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Shading1-Accent6">
    <w:name w:val="Medium Shading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Shading2-Accent2">
    <w:name w:val="Medium Shading 2 Accent 2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4">
    <w:name w:val="Medium Shading 2 Accent 4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5">
    <w:name w:val="Medium Shading 2 Accent 5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6">
    <w:name w:val="Medium Shading 2 Accent 6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1-Accent2">
    <w:name w:val="Medium List 1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-Accent1">
    <w:name w:val="Medium List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MediumList2-Accent2">
    <w:name w:val="Medium List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MediumList2-Accent3">
    <w:name w:val="Medium List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MediumList2-Accent4">
    <w:name w:val="Medium List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MediumList2-Accent5">
    <w:name w:val="Medium List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MediumList2-Accent6">
    <w:name w:val="Medium List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MediumGrid1-Accent1">
    <w:name w:val="Medium Grid 1 Accent 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-Accent1">
    <w:name w:val="Medium Grid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-Accent1">
    <w:name w:val="Medium Grid 3 Accent 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DarkList-Accent1">
    <w:name w:val="Dark List Accent 1"/>
    <w:basedOn w:val="TableNormal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DarkList-Accent2">
    <w:name w:val="Dark List Accent 2"/>
    <w:basedOn w:val="TableNormal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DarkList-Accent3">
    <w:name w:val="Dark List Accent 3"/>
    <w:basedOn w:val="TableNormal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DarkList-Accent4">
    <w:name w:val="Dark List Accent 4"/>
    <w:basedOn w:val="TableNormal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DarkList-Accent5">
    <w:name w:val="Dark List Accent 5"/>
    <w:basedOn w:val="TableNormal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DarkList-Accent6">
    <w:name w:val="Dark List Accent 6"/>
    <w:basedOn w:val="TableNormal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ColorfulShading-Accent1">
    <w:name w:val="Colorful Shading Accent 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1">
    <w:name w:val="Colorful List Accent 1"/>
    <w:basedOn w:val="TableNormal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-Accent1">
    <w:name w:val="Colorful Grid Accent 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PageNumber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CommentReference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FootnoteReference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Normal"/>
    <w:pPr>
      <w:ind w:left="720"/>
    </w:pPr>
    <w:rPr>
      <w:lang w:eastAsia="en-GB"/>
    </w:rPr>
  </w:style>
  <w:style w:type="paragraph" w:customStyle="1" w:styleId="BodyText4">
    <w:name w:val="Body Text 4"/>
    <w:basedOn w:val="Normal"/>
    <w:pPr>
      <w:ind w:left="2880"/>
    </w:pPr>
    <w:rPr>
      <w:lang w:eastAsia="en-GB"/>
    </w:rPr>
  </w:style>
  <w:style w:type="paragraph" w:customStyle="1" w:styleId="BodyText5">
    <w:name w:val="Body Text 5"/>
    <w:basedOn w:val="Normal"/>
    <w:pPr>
      <w:ind w:left="3600"/>
    </w:pPr>
    <w:rPr>
      <w:lang w:eastAsia="en-GB"/>
    </w:rPr>
  </w:style>
  <w:style w:type="paragraph" w:customStyle="1" w:styleId="BodyText6">
    <w:name w:val="Body Text 6"/>
    <w:basedOn w:val="Normal"/>
    <w:pPr>
      <w:ind w:left="4320"/>
    </w:pPr>
    <w:rPr>
      <w:lang w:eastAsia="en-GB"/>
    </w:rPr>
  </w:style>
  <w:style w:type="paragraph" w:customStyle="1" w:styleId="BodyText7">
    <w:name w:val="Body Text 7"/>
    <w:basedOn w:val="Normal"/>
    <w:pPr>
      <w:ind w:left="5041"/>
    </w:pPr>
    <w:rPr>
      <w:lang w:eastAsia="en-GB"/>
    </w:rPr>
  </w:style>
  <w:style w:type="paragraph" w:customStyle="1" w:styleId="FooterRight">
    <w:name w:val="Footer Right"/>
    <w:basedOn w:val="Footer"/>
    <w:pPr>
      <w:jc w:val="right"/>
    </w:pPr>
  </w:style>
  <w:style w:type="paragraph" w:customStyle="1" w:styleId="Footnote">
    <w:name w:val="Footnote"/>
    <w:basedOn w:val="FootnoteText"/>
    <w:pPr>
      <w:tabs>
        <w:tab w:val="left" w:pos="340"/>
      </w:tabs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qFormat/>
    <w:pPr>
      <w:spacing w:after="0"/>
    </w:pPr>
  </w:style>
  <w:style w:type="paragraph" w:customStyle="1" w:styleId="NormalBold">
    <w:name w:val="NormalBold"/>
    <w:basedOn w:val="Normal"/>
    <w:next w:val="Normal"/>
    <w:rPr>
      <w:b/>
      <w:bCs/>
    </w:rPr>
  </w:style>
  <w:style w:type="paragraph" w:customStyle="1" w:styleId="NormalBoldNS">
    <w:name w:val="NormalBoldNS"/>
    <w:basedOn w:val="Normal"/>
    <w:next w:val="Normal"/>
    <w:pPr>
      <w:spacing w:after="0"/>
      <w:jc w:val="left"/>
    </w:pPr>
    <w:rPr>
      <w:b/>
      <w:bCs/>
    </w:rPr>
  </w:style>
  <w:style w:type="paragraph" w:customStyle="1" w:styleId="NormalNS">
    <w:name w:val="NormalNS"/>
    <w:basedOn w:val="Normal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Normal"/>
    <w:pPr>
      <w:spacing w:after="120"/>
      <w:ind w:left="340"/>
    </w:pPr>
    <w:rPr>
      <w:sz w:val="20"/>
      <w:szCs w:val="20"/>
    </w:rPr>
  </w:style>
  <w:style w:type="paragraph" w:styleId="TOCHeading">
    <w:name w:val="TOC Heading"/>
    <w:basedOn w:val="Normal"/>
    <w:next w:val="Normal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Normal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Subtitle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bidi="ar-AE"/>
    </w:rPr>
  </w:style>
  <w:style w:type="paragraph" w:customStyle="1" w:styleId="NormalLeft0">
    <w:name w:val="NormalLeft"/>
    <w:basedOn w:val="Normal"/>
    <w:next w:val="Normal"/>
    <w:pPr>
      <w:jc w:val="left"/>
    </w:pPr>
  </w:style>
  <w:style w:type="paragraph" w:styleId="Bibliography">
    <w:name w:val="Bibliography"/>
    <w:basedOn w:val="Normal"/>
    <w:next w:val="Normal"/>
  </w:style>
  <w:style w:type="table" w:customStyle="1" w:styleId="ColorfulGrid1">
    <w:name w:val="Colorful Grid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TableNormal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TableNormal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IntenseQuoteChar">
    <w:name w:val="Intense Quote Char"/>
    <w:link w:val="IntenseQuote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Quote">
    <w:name w:val="Quote"/>
    <w:basedOn w:val="Normal"/>
    <w:next w:val="Normal"/>
    <w:link w:val="QuoteChar"/>
    <w:qFormat/>
    <w:rPr>
      <w:rFonts w:cs="Simplified Arabic"/>
      <w:i/>
      <w:iCs/>
      <w:color w:val="000000"/>
    </w:rPr>
  </w:style>
  <w:style w:type="character" w:customStyle="1" w:styleId="QuoteChar">
    <w:name w:val="Quote Char"/>
    <w:link w:val="Quote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Normal"/>
    <w:next w:val="BodyText3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Normal"/>
    <w:next w:val="BodyText2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Normal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Normal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Normal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Normal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Normal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Normal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Normal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Normal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Normal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Normal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Normal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Normal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Normal"/>
    <w:next w:val="BodyText3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Normal"/>
    <w:next w:val="BodyText2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Normal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Normal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Revision">
    <w:name w:val="Revision"/>
    <w:hidden/>
    <w:uiPriority w:val="99"/>
    <w:unhideWhenUsed/>
    <w:rsid w:val="00A343B7"/>
    <w:rPr>
      <w:sz w:val="24"/>
      <w:szCs w:val="24"/>
      <w:lang w:bidi="ar-AE"/>
    </w:rPr>
  </w:style>
  <w:style w:type="character" w:styleId="BookTitle">
    <w:name w:val="Book Title"/>
    <w:basedOn w:val="DefaultParagraphFont"/>
    <w:uiPriority w:val="33"/>
    <w:qFormat/>
    <w:rsid w:val="00403327"/>
    <w:rPr>
      <w:b/>
      <w:bCs/>
      <w:i/>
      <w:iCs/>
      <w:spacing w:val="5"/>
    </w:rPr>
  </w:style>
  <w:style w:type="character" w:styleId="IntenseEmphasis">
    <w:name w:val="Intense Emphasis"/>
    <w:basedOn w:val="DefaultParagraphFont"/>
    <w:uiPriority w:val="21"/>
    <w:qFormat/>
    <w:rsid w:val="00403327"/>
    <w:rPr>
      <w:i/>
      <w:iCs/>
      <w:color w:val="1C3E78" w:themeColor="accent1"/>
    </w:rPr>
  </w:style>
  <w:style w:type="character" w:styleId="IntenseReference">
    <w:name w:val="Intense Reference"/>
    <w:basedOn w:val="DefaultParagraphFont"/>
    <w:uiPriority w:val="32"/>
    <w:qFormat/>
    <w:rsid w:val="00403327"/>
    <w:rPr>
      <w:b/>
      <w:bCs/>
      <w:smallCaps/>
      <w:color w:val="1C3E78" w:themeColor="accent1"/>
      <w:spacing w:val="5"/>
    </w:rPr>
  </w:style>
  <w:style w:type="character" w:styleId="SubtleEmphasis">
    <w:name w:val="Subtle Emphasis"/>
    <w:basedOn w:val="DefaultParagraphFont"/>
    <w:uiPriority w:val="19"/>
    <w:qFormat/>
    <w:rsid w:val="0040332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03327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5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HSF">
  <a:themeElements>
    <a:clrScheme name="HSF Brand">
      <a:dk1>
        <a:sysClr val="windowText" lastClr="000000"/>
      </a:dk1>
      <a:lt1>
        <a:sysClr val="window" lastClr="FFFFFF"/>
      </a:lt1>
      <a:dk2>
        <a:srgbClr val="1C3E78"/>
      </a:dk2>
      <a:lt2>
        <a:srgbClr val="A4A6A8"/>
      </a:lt2>
      <a:accent1>
        <a:srgbClr val="1C3E78"/>
      </a:accent1>
      <a:accent2>
        <a:srgbClr val="40AAB8"/>
      </a:accent2>
      <a:accent3>
        <a:srgbClr val="FFC72C"/>
      </a:accent3>
      <a:accent4>
        <a:srgbClr val="A24381"/>
      </a:accent4>
      <a:accent5>
        <a:srgbClr val="235BA8"/>
      </a:accent5>
      <a:accent6>
        <a:srgbClr val="F65058"/>
      </a:accent6>
      <a:hlink>
        <a:srgbClr val="235BA8"/>
      </a:hlink>
      <a:folHlink>
        <a:srgbClr val="A4A6A8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djacency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9525">
          <a:noFill/>
        </a:ln>
      </a:spPr>
      <a:bodyPr lIns="72000" tIns="72000" rIns="72000" bIns="72000" rtlCol="0" anchor="ctr"/>
      <a:lstStyle>
        <a:defPPr algn="ctr">
          <a:lnSpc>
            <a:spcPct val="90000"/>
          </a:lnSpc>
          <a:spcAft>
            <a:spcPts val="600"/>
          </a:spcAft>
          <a:defRPr sz="24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>
          <a:noFill/>
        </a:ln>
      </a:spPr>
      <a:bodyPr wrap="square" lIns="72000" tIns="72000" rIns="72000" bIns="72000" rtlCol="0" anchor="t" anchorCtr="0">
        <a:noAutofit/>
      </a:bodyPr>
      <a:lstStyle>
        <a:defPPr>
          <a:lnSpc>
            <a:spcPct val="90000"/>
          </a:lnSpc>
          <a:spcAft>
            <a:spcPts val="600"/>
          </a:spcAft>
          <a:defRPr sz="2400" dirty="0" err="1" smtClean="0"/>
        </a:defPPr>
      </a:lst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1</TotalTime>
  <Pages>2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Herbert Smith Freehills Kramer Kewei</cp:lastModifiedBy>
  <cp:revision>3</cp:revision>
  <cp:lastPrinted>2024-06-04T02:21:00Z</cp:lastPrinted>
  <dcterms:created xsi:type="dcterms:W3CDTF">2026-10-16T02:03:00Z</dcterms:created>
  <dcterms:modified xsi:type="dcterms:W3CDTF">2026-10-16T02:03:00Z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  <property fmtid="{D5CDD505-2E9C-101B-9397-08002B2CF9AE}" pid="3" name="GrammarlyDocumentId">
    <vt:lpwstr>4f089b5b77e6ba067f5fab36f79c7089fafa208a929140029906eacfd0ec0264</vt:lpwstr>
  </property>
</Properties>
</file>