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E7D44" w:rsidRDefault="00000000">
      <w:pPr>
        <w:spacing w:after="240" w:line="240" w:lineRule="auto"/>
        <w:jc w:val="center"/>
        <w:rPr>
          <w:rFonts w:ascii="SimHei" w:eastAsia="SimHei" w:hAnsi="SimHei" w:cs="SimHei"/>
          <w:bCs/>
          <w:sz w:val="36"/>
          <w:szCs w:val="36"/>
          <w:lang w:val="en-GB" w:bidi="ar-AE"/>
        </w:rPr>
      </w:pPr>
      <w:r>
        <w:rPr>
          <w:rFonts w:ascii="SimHei" w:eastAsia="SimHei" w:hAnsi="SimHei" w:cs="SimHei" w:hint="eastAsia"/>
          <w:bCs/>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AE7D44">
        <w:trPr>
          <w:trHeight w:val="926"/>
        </w:trPr>
        <w:tc>
          <w:tcPr>
            <w:tcW w:w="1940" w:type="dxa"/>
            <w:shd w:val="clear" w:color="auto" w:fill="D9D9D9"/>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eastAsia="en-GB" w:bidi="ar-AE"/>
              </w:rPr>
            </w:pPr>
            <w:proofErr w:type="spellStart"/>
            <w:r>
              <w:rPr>
                <w:rFonts w:ascii="宋体" w:eastAsia="宋体" w:hAnsi="宋体" w:cs="宋体" w:hint="eastAsia"/>
                <w:bCs/>
                <w:color w:val="000000"/>
                <w:sz w:val="24"/>
                <w:szCs w:val="24"/>
                <w:lang w:val="en-GB" w:eastAsia="en-GB" w:bidi="ar-AE"/>
              </w:rPr>
              <w:t>案件名称</w:t>
            </w:r>
            <w:proofErr w:type="spellEnd"/>
          </w:p>
        </w:tc>
        <w:tc>
          <w:tcPr>
            <w:tcW w:w="7700" w:type="dxa"/>
            <w:gridSpan w:val="2"/>
            <w:vAlign w:val="center"/>
          </w:tcPr>
          <w:p w:rsidR="00AE7D44" w:rsidRDefault="00537244">
            <w:pPr>
              <w:adjustRightInd w:val="0"/>
              <w:snapToGrid w:val="0"/>
              <w:spacing w:after="0" w:line="240" w:lineRule="auto"/>
              <w:jc w:val="both"/>
              <w:rPr>
                <w:rFonts w:ascii="宋体" w:eastAsia="宋体" w:hAnsi="宋体" w:cs="宋体"/>
                <w:bCs/>
                <w:color w:val="000000"/>
                <w:sz w:val="24"/>
                <w:szCs w:val="24"/>
                <w:lang w:bidi="ar-AE"/>
              </w:rPr>
            </w:pPr>
            <w:r w:rsidRPr="00537244">
              <w:rPr>
                <w:rFonts w:ascii="宋体" w:eastAsia="宋体" w:hAnsi="宋体" w:cs="宋体" w:hint="eastAsia"/>
                <w:bCs/>
                <w:color w:val="000000"/>
                <w:sz w:val="24"/>
                <w:szCs w:val="24"/>
                <w:lang w:bidi="ar-AE"/>
              </w:rPr>
              <w:t>万华化学集团电池科技有限公司收购安徽安纳达钛业股份有限公司股权案</w:t>
            </w:r>
          </w:p>
        </w:tc>
      </w:tr>
      <w:tr w:rsidR="00AE7D44">
        <w:trPr>
          <w:trHeight w:val="1391"/>
        </w:trPr>
        <w:tc>
          <w:tcPr>
            <w:tcW w:w="1940" w:type="dxa"/>
            <w:shd w:val="clear" w:color="auto" w:fill="D9D9D9"/>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t>交易概况（限200字内）</w:t>
            </w:r>
          </w:p>
        </w:tc>
        <w:tc>
          <w:tcPr>
            <w:tcW w:w="7700" w:type="dxa"/>
            <w:gridSpan w:val="2"/>
            <w:vAlign w:val="center"/>
          </w:tcPr>
          <w:p w:rsidR="00A36145" w:rsidRDefault="00A36145">
            <w:pPr>
              <w:widowControl w:val="0"/>
              <w:adjustRightInd w:val="0"/>
              <w:snapToGrid w:val="0"/>
              <w:spacing w:after="0" w:line="240" w:lineRule="auto"/>
              <w:jc w:val="both"/>
              <w:rPr>
                <w:rFonts w:ascii="宋体" w:eastAsia="宋体" w:hAnsi="宋体" w:cs="宋体"/>
                <w:sz w:val="24"/>
                <w:szCs w:val="24"/>
                <w:lang w:bidi="ar-AE"/>
              </w:rPr>
            </w:pPr>
            <w:r w:rsidRPr="00A36145">
              <w:rPr>
                <w:rFonts w:ascii="宋体" w:eastAsia="宋体" w:hAnsi="宋体" w:cs="宋体" w:hint="eastAsia"/>
                <w:sz w:val="24"/>
                <w:szCs w:val="24"/>
                <w:lang w:bidi="ar-AE"/>
              </w:rPr>
              <w:t>万华化学集团电池科技有限公司（</w:t>
            </w:r>
            <w:r w:rsidRPr="00A36145">
              <w:rPr>
                <w:rFonts w:ascii="宋体" w:eastAsia="宋体" w:hAnsi="宋体" w:cs="宋体" w:hint="eastAsia"/>
                <w:b/>
                <w:bCs/>
                <w:sz w:val="24"/>
                <w:szCs w:val="24"/>
                <w:lang w:bidi="ar-AE"/>
              </w:rPr>
              <w:t>“万华电池”</w:t>
            </w:r>
            <w:r w:rsidRPr="00A36145">
              <w:rPr>
                <w:rFonts w:ascii="宋体" w:eastAsia="宋体" w:hAnsi="宋体" w:cs="宋体" w:hint="eastAsia"/>
                <w:sz w:val="24"/>
                <w:szCs w:val="24"/>
                <w:lang w:bidi="ar-AE"/>
              </w:rPr>
              <w:t>）与铜陵化学工业集团有限公司（</w:t>
            </w:r>
            <w:r w:rsidRPr="00A36145">
              <w:rPr>
                <w:rFonts w:ascii="宋体" w:eastAsia="宋体" w:hAnsi="宋体" w:cs="宋体" w:hint="eastAsia"/>
                <w:b/>
                <w:bCs/>
                <w:sz w:val="24"/>
                <w:szCs w:val="24"/>
                <w:lang w:bidi="ar-AE"/>
              </w:rPr>
              <w:t>“铜化集团”</w:t>
            </w:r>
            <w:r w:rsidRPr="00A36145">
              <w:rPr>
                <w:rFonts w:ascii="宋体" w:eastAsia="宋体" w:hAnsi="宋体" w:cs="宋体" w:hint="eastAsia"/>
                <w:sz w:val="24"/>
                <w:szCs w:val="24"/>
                <w:lang w:bidi="ar-AE"/>
              </w:rPr>
              <w:t>）签署《股权转让协议》，万华电池拟收购铜化集团持有的安徽安纳达钛业股份有限公司（</w:t>
            </w:r>
            <w:r w:rsidRPr="00A36145">
              <w:rPr>
                <w:rFonts w:ascii="宋体" w:eastAsia="宋体" w:hAnsi="宋体" w:cs="宋体" w:hint="eastAsia"/>
                <w:b/>
                <w:bCs/>
                <w:sz w:val="24"/>
                <w:szCs w:val="24"/>
                <w:lang w:bidi="ar-AE"/>
              </w:rPr>
              <w:t>“安纳达”</w:t>
            </w:r>
            <w:r w:rsidRPr="00A36145">
              <w:rPr>
                <w:rFonts w:ascii="宋体" w:eastAsia="宋体" w:hAnsi="宋体" w:cs="宋体" w:hint="eastAsia"/>
                <w:sz w:val="24"/>
                <w:szCs w:val="24"/>
                <w:lang w:bidi="ar-AE"/>
              </w:rPr>
              <w:t>）15.2%的股份。安纳达主要从事钛白粉和磷酸铁产品的研发、生产和销售等。交易前，铜化集团持有安纳达30%的股份，</w:t>
            </w:r>
            <w:r w:rsidR="007C66D9">
              <w:rPr>
                <w:rFonts w:ascii="宋体" w:eastAsia="宋体" w:hAnsi="宋体" w:cs="宋体" w:hint="eastAsia"/>
                <w:sz w:val="24"/>
                <w:szCs w:val="24"/>
                <w:lang w:bidi="ar-AE"/>
              </w:rPr>
              <w:t>单独控制安纳达</w:t>
            </w:r>
            <w:r w:rsidR="005F0949">
              <w:rPr>
                <w:rFonts w:ascii="宋体" w:eastAsia="宋体" w:hAnsi="宋体" w:cs="宋体" w:hint="eastAsia"/>
                <w:sz w:val="24"/>
                <w:szCs w:val="24"/>
                <w:lang w:bidi="ar-AE"/>
              </w:rPr>
              <w:t>。</w:t>
            </w:r>
            <w:r w:rsidRPr="00A36145">
              <w:rPr>
                <w:rFonts w:ascii="宋体" w:eastAsia="宋体" w:hAnsi="宋体" w:cs="宋体" w:hint="eastAsia"/>
                <w:sz w:val="24"/>
                <w:szCs w:val="24"/>
                <w:lang w:bidi="ar-AE"/>
              </w:rPr>
              <w:t>交易后，万华电池将持有安纳达15.2%的股份，</w:t>
            </w:r>
            <w:r w:rsidR="005F0949" w:rsidRPr="005F0949">
              <w:rPr>
                <w:rFonts w:ascii="宋体" w:eastAsia="宋体" w:hAnsi="宋体" w:cs="宋体" w:hint="eastAsia"/>
                <w:sz w:val="24"/>
                <w:szCs w:val="24"/>
                <w:lang w:bidi="ar-AE"/>
              </w:rPr>
              <w:t>且铜化集团与万华电池签署了《一致行动人协议》，铜化集团系万华电池的一致行动人，因此，万华电池将单独控制安纳达。</w:t>
            </w:r>
          </w:p>
        </w:tc>
      </w:tr>
      <w:tr w:rsidR="00AE7D44">
        <w:trPr>
          <w:trHeight w:val="1579"/>
        </w:trPr>
        <w:tc>
          <w:tcPr>
            <w:tcW w:w="1940" w:type="dxa"/>
            <w:vMerge w:val="restart"/>
            <w:shd w:val="clear" w:color="auto" w:fill="D9D9D9"/>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t>参与集中的经营者简介（每个限</w:t>
            </w:r>
            <w:r>
              <w:rPr>
                <w:rFonts w:ascii="宋体" w:eastAsia="宋体" w:hAnsi="宋体" w:cs="宋体" w:hint="eastAsia"/>
                <w:bCs/>
                <w:color w:val="000000"/>
                <w:sz w:val="24"/>
                <w:szCs w:val="24"/>
                <w:lang w:bidi="ar-AE"/>
              </w:rPr>
              <w:t>100字以内</w:t>
            </w:r>
            <w:r>
              <w:rPr>
                <w:rFonts w:ascii="宋体" w:eastAsia="宋体" w:hAnsi="宋体" w:cs="宋体" w:hint="eastAsia"/>
                <w:bCs/>
                <w:color w:val="000000"/>
                <w:sz w:val="24"/>
                <w:szCs w:val="24"/>
                <w:lang w:val="en-GB" w:bidi="ar-AE"/>
              </w:rPr>
              <w:t>）</w:t>
            </w:r>
          </w:p>
        </w:tc>
        <w:tc>
          <w:tcPr>
            <w:tcW w:w="1607" w:type="dxa"/>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bCs/>
                <w:color w:val="000000"/>
                <w:sz w:val="24"/>
                <w:szCs w:val="24"/>
                <w:lang w:bidi="ar-AE"/>
              </w:rPr>
              <w:t>1.</w:t>
            </w:r>
            <w:r w:rsidR="00A36145">
              <w:rPr>
                <w:rFonts w:ascii="宋体" w:eastAsia="宋体" w:hAnsi="宋体" w:cs="宋体" w:hint="eastAsia"/>
                <w:bCs/>
                <w:color w:val="000000"/>
                <w:sz w:val="24"/>
                <w:szCs w:val="24"/>
                <w:lang w:val="en-GB" w:bidi="ar-AE"/>
              </w:rPr>
              <w:t>万华电池</w:t>
            </w:r>
          </w:p>
        </w:tc>
        <w:tc>
          <w:tcPr>
            <w:tcW w:w="6093" w:type="dxa"/>
            <w:vAlign w:val="center"/>
          </w:tcPr>
          <w:p w:rsidR="00A36145" w:rsidRDefault="00A36145">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万华电池于</w:t>
            </w:r>
            <w:r>
              <w:rPr>
                <w:rFonts w:ascii="宋体" w:eastAsia="宋体" w:hAnsi="宋体" w:cs="宋体"/>
                <w:sz w:val="24"/>
                <w:szCs w:val="24"/>
                <w:lang w:val="en-GB" w:bidi="ar-AE"/>
              </w:rPr>
              <w:t>2022</w:t>
            </w:r>
            <w:r>
              <w:rPr>
                <w:rFonts w:ascii="宋体" w:eastAsia="宋体" w:hAnsi="宋体" w:cs="宋体" w:hint="eastAsia"/>
                <w:sz w:val="24"/>
                <w:szCs w:val="24"/>
                <w:lang w:val="en-GB" w:bidi="ar-AE"/>
              </w:rPr>
              <w:t>年1</w:t>
            </w:r>
            <w:r>
              <w:rPr>
                <w:rFonts w:ascii="宋体" w:eastAsia="宋体" w:hAnsi="宋体" w:cs="宋体"/>
                <w:sz w:val="24"/>
                <w:szCs w:val="24"/>
                <w:lang w:val="en-GB" w:bidi="ar-AE"/>
              </w:rPr>
              <w:t>1</w:t>
            </w:r>
            <w:r>
              <w:rPr>
                <w:rFonts w:ascii="宋体" w:eastAsia="宋体" w:hAnsi="宋体" w:cs="宋体" w:hint="eastAsia"/>
                <w:sz w:val="24"/>
                <w:szCs w:val="24"/>
                <w:lang w:val="en-GB" w:bidi="ar-AE"/>
              </w:rPr>
              <w:t>月</w:t>
            </w:r>
            <w:r>
              <w:rPr>
                <w:rFonts w:ascii="宋体" w:eastAsia="宋体" w:hAnsi="宋体" w:cs="宋体"/>
                <w:sz w:val="24"/>
                <w:szCs w:val="24"/>
                <w:lang w:val="en-GB" w:bidi="ar-AE"/>
              </w:rPr>
              <w:t>23</w:t>
            </w:r>
            <w:r>
              <w:rPr>
                <w:rFonts w:ascii="宋体" w:eastAsia="宋体" w:hAnsi="宋体" w:cs="宋体" w:hint="eastAsia"/>
                <w:sz w:val="24"/>
                <w:szCs w:val="24"/>
                <w:lang w:val="en-GB" w:bidi="ar-AE"/>
              </w:rPr>
              <w:t>日成立于中国山东省，主要从事</w:t>
            </w:r>
            <w:r>
              <w:rPr>
                <w:rFonts w:ascii="Times New Roman" w:eastAsia="宋体" w:hAnsi="Times New Roman" w:cs="Times New Roman" w:hint="eastAsia"/>
                <w:sz w:val="24"/>
                <w:szCs w:val="24"/>
              </w:rPr>
              <w:t>三元正极材料、磷酸铁锂、硫酸钴、硫酸镍、</w:t>
            </w:r>
            <w:r>
              <w:rPr>
                <w:rFonts w:ascii="Times New Roman" w:eastAsia="宋体" w:hAnsi="Times New Roman" w:cs="Times New Roman" w:hint="eastAsia"/>
                <w:sz w:val="24"/>
                <w:szCs w:val="24"/>
              </w:rPr>
              <w:t>NMP</w:t>
            </w:r>
            <w:r>
              <w:rPr>
                <w:rFonts w:ascii="Times New Roman" w:eastAsia="宋体" w:hAnsi="Times New Roman" w:cs="Times New Roman" w:hint="eastAsia"/>
                <w:sz w:val="24"/>
                <w:szCs w:val="24"/>
              </w:rPr>
              <w:t>溶剂的研发、生产和销售等。</w:t>
            </w:r>
          </w:p>
          <w:p w:rsidR="00AE7D44" w:rsidRDefault="00A36145" w:rsidP="00A36145">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万华电池的最终控制人为</w:t>
            </w:r>
            <w:r w:rsidRPr="007C66D9">
              <w:rPr>
                <w:rFonts w:ascii="宋体" w:eastAsia="宋体" w:hAnsi="宋体" w:cs="宋体" w:hint="eastAsia"/>
                <w:sz w:val="24"/>
                <w:szCs w:val="24"/>
                <w:lang w:val="en-GB" w:bidi="ar-AE"/>
              </w:rPr>
              <w:t>烟台国丰投资控股集团有限公司，主要业务为</w:t>
            </w:r>
            <w:r w:rsidR="00D4704D" w:rsidRPr="007C66D9">
              <w:rPr>
                <w:rFonts w:ascii="宋体" w:eastAsia="宋体" w:hAnsi="宋体" w:cs="宋体" w:hint="eastAsia"/>
                <w:sz w:val="24"/>
                <w:szCs w:val="24"/>
                <w:lang w:val="en-GB" w:bidi="ar-AE"/>
              </w:rPr>
              <w:t>国有资产经营管理等。</w:t>
            </w:r>
          </w:p>
        </w:tc>
      </w:tr>
      <w:tr w:rsidR="00AE7D44">
        <w:trPr>
          <w:trHeight w:val="984"/>
        </w:trPr>
        <w:tc>
          <w:tcPr>
            <w:tcW w:w="1940" w:type="dxa"/>
            <w:vMerge/>
            <w:shd w:val="clear" w:color="auto" w:fill="D9D9D9"/>
            <w:vAlign w:val="center"/>
          </w:tcPr>
          <w:p w:rsidR="00AE7D44" w:rsidRDefault="00AE7D44">
            <w:pPr>
              <w:adjustRightInd w:val="0"/>
              <w:snapToGrid w:val="0"/>
              <w:spacing w:after="0" w:line="240" w:lineRule="auto"/>
              <w:jc w:val="both"/>
              <w:rPr>
                <w:rFonts w:ascii="宋体" w:eastAsia="宋体" w:hAnsi="宋体" w:cs="宋体"/>
                <w:bCs/>
                <w:color w:val="000000"/>
                <w:sz w:val="24"/>
                <w:szCs w:val="24"/>
                <w:lang w:bidi="ar-AE"/>
              </w:rPr>
            </w:pPr>
          </w:p>
        </w:tc>
        <w:tc>
          <w:tcPr>
            <w:tcW w:w="1607" w:type="dxa"/>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hint="eastAsia"/>
                <w:bCs/>
                <w:color w:val="000000"/>
                <w:sz w:val="24"/>
                <w:szCs w:val="24"/>
                <w:lang w:bidi="ar-AE"/>
              </w:rPr>
              <w:t>2.</w:t>
            </w:r>
            <w:r w:rsidR="00A36145">
              <w:rPr>
                <w:rFonts w:ascii="宋体" w:eastAsia="宋体" w:hAnsi="宋体" w:cs="宋体" w:hint="eastAsia"/>
                <w:bCs/>
                <w:color w:val="000000"/>
                <w:sz w:val="24"/>
                <w:szCs w:val="24"/>
                <w:lang w:bidi="ar-AE"/>
              </w:rPr>
              <w:t>安纳达</w:t>
            </w:r>
          </w:p>
        </w:tc>
        <w:tc>
          <w:tcPr>
            <w:tcW w:w="6093" w:type="dxa"/>
            <w:vAlign w:val="center"/>
          </w:tcPr>
          <w:p w:rsidR="00AE7D44" w:rsidRDefault="00A36145">
            <w:pPr>
              <w:adjustRightInd w:val="0"/>
              <w:snapToGrid w:val="0"/>
              <w:spacing w:after="0" w:line="240" w:lineRule="auto"/>
              <w:jc w:val="both"/>
              <w:rPr>
                <w:rFonts w:ascii="宋体" w:eastAsia="宋体" w:hAnsi="宋体" w:cs="宋体"/>
                <w:sz w:val="24"/>
                <w:szCs w:val="24"/>
                <w:lang w:val="en-GB" w:bidi="ar-AE"/>
              </w:rPr>
            </w:pPr>
            <w:r>
              <w:rPr>
                <w:rFonts w:ascii="宋体" w:eastAsia="宋体" w:hAnsi="宋体" w:cs="宋体" w:hint="eastAsia"/>
                <w:sz w:val="24"/>
                <w:szCs w:val="24"/>
                <w:lang w:val="en-GB" w:bidi="ar-AE"/>
              </w:rPr>
              <w:t>安纳达于</w:t>
            </w:r>
            <w:r>
              <w:rPr>
                <w:rFonts w:ascii="宋体" w:eastAsia="宋体" w:hAnsi="宋体" w:cs="宋体"/>
                <w:sz w:val="24"/>
                <w:szCs w:val="24"/>
                <w:lang w:val="en-GB" w:bidi="ar-AE"/>
              </w:rPr>
              <w:t>1994</w:t>
            </w:r>
            <w:r>
              <w:rPr>
                <w:rFonts w:ascii="宋体" w:eastAsia="宋体" w:hAnsi="宋体" w:cs="宋体" w:hint="eastAsia"/>
                <w:sz w:val="24"/>
                <w:szCs w:val="24"/>
                <w:lang w:val="en-GB" w:bidi="ar-AE"/>
              </w:rPr>
              <w:t>年</w:t>
            </w:r>
            <w:r>
              <w:rPr>
                <w:rFonts w:ascii="宋体" w:eastAsia="宋体" w:hAnsi="宋体" w:cs="宋体"/>
                <w:sz w:val="24"/>
                <w:szCs w:val="24"/>
                <w:lang w:val="en-GB" w:bidi="ar-AE"/>
              </w:rPr>
              <w:t>3</w:t>
            </w:r>
            <w:r>
              <w:rPr>
                <w:rFonts w:ascii="宋体" w:eastAsia="宋体" w:hAnsi="宋体" w:cs="宋体" w:hint="eastAsia"/>
                <w:sz w:val="24"/>
                <w:szCs w:val="24"/>
                <w:lang w:val="en-GB" w:bidi="ar-AE"/>
              </w:rPr>
              <w:t>月</w:t>
            </w:r>
            <w:r>
              <w:rPr>
                <w:rFonts w:ascii="宋体" w:eastAsia="宋体" w:hAnsi="宋体" w:cs="宋体"/>
                <w:sz w:val="24"/>
                <w:szCs w:val="24"/>
                <w:lang w:val="en-GB" w:bidi="ar-AE"/>
              </w:rPr>
              <w:t>11</w:t>
            </w:r>
            <w:r>
              <w:rPr>
                <w:rFonts w:ascii="宋体" w:eastAsia="宋体" w:hAnsi="宋体" w:cs="宋体" w:hint="eastAsia"/>
                <w:sz w:val="24"/>
                <w:szCs w:val="24"/>
                <w:lang w:val="en-GB" w:bidi="ar-AE"/>
              </w:rPr>
              <w:t>日成立于中国安徽省，为</w:t>
            </w:r>
            <w:r w:rsidRPr="00A36145">
              <w:rPr>
                <w:rFonts w:ascii="宋体" w:eastAsia="宋体" w:hAnsi="宋体" w:cs="宋体" w:hint="eastAsia"/>
                <w:sz w:val="24"/>
                <w:szCs w:val="24"/>
                <w:lang w:val="en-GB" w:bidi="ar-AE"/>
              </w:rPr>
              <w:t>深圳证券交易所</w:t>
            </w:r>
            <w:r>
              <w:rPr>
                <w:rFonts w:ascii="宋体" w:eastAsia="宋体" w:hAnsi="宋体" w:cs="宋体" w:hint="eastAsia"/>
                <w:sz w:val="24"/>
                <w:szCs w:val="24"/>
                <w:lang w:val="en-GB" w:bidi="ar-AE"/>
              </w:rPr>
              <w:t>上市公司，主要业务为</w:t>
            </w:r>
            <w:r>
              <w:rPr>
                <w:rFonts w:ascii="Times New Roman" w:eastAsia="宋体" w:hAnsi="Times New Roman" w:cs="Times New Roman"/>
                <w:sz w:val="24"/>
                <w:szCs w:val="24"/>
              </w:rPr>
              <w:t>钛白粉</w:t>
            </w:r>
            <w:r>
              <w:rPr>
                <w:rFonts w:ascii="Times New Roman" w:eastAsia="宋体" w:hAnsi="Times New Roman" w:cs="Times New Roman" w:hint="eastAsia"/>
                <w:sz w:val="24"/>
                <w:szCs w:val="24"/>
              </w:rPr>
              <w:t>和磷酸铁产品</w:t>
            </w:r>
            <w:r>
              <w:rPr>
                <w:rFonts w:ascii="Times New Roman" w:eastAsia="宋体" w:hAnsi="Times New Roman" w:cs="Times New Roman"/>
                <w:sz w:val="24"/>
                <w:szCs w:val="24"/>
              </w:rPr>
              <w:t>的研发、生产和销售</w:t>
            </w:r>
            <w:r>
              <w:rPr>
                <w:rFonts w:ascii="Times New Roman" w:eastAsia="宋体" w:hAnsi="Times New Roman" w:cs="Times New Roman" w:hint="eastAsia"/>
                <w:sz w:val="24"/>
                <w:szCs w:val="24"/>
              </w:rPr>
              <w:t>等。</w:t>
            </w:r>
          </w:p>
          <w:p w:rsidR="004469BF" w:rsidRPr="0043490A" w:rsidRDefault="00A36145" w:rsidP="0043490A">
            <w:pPr>
              <w:rPr>
                <w:rFonts w:hint="eastAsia"/>
                <w:sz w:val="21"/>
                <w:szCs w:val="21"/>
              </w:rPr>
            </w:pPr>
            <w:r w:rsidRPr="00FB7CE8">
              <w:rPr>
                <w:rFonts w:ascii="宋体" w:eastAsia="宋体" w:hAnsi="宋体" w:cs="宋体" w:hint="eastAsia"/>
                <w:sz w:val="24"/>
                <w:szCs w:val="24"/>
                <w:lang w:val="en-GB" w:bidi="ar-AE"/>
              </w:rPr>
              <w:t>安纳达</w:t>
            </w:r>
            <w:r w:rsidR="0043490A">
              <w:rPr>
                <w:rFonts w:ascii="宋体" w:eastAsia="宋体" w:hAnsi="宋体" w:cs="宋体" w:hint="eastAsia"/>
                <w:sz w:val="24"/>
                <w:szCs w:val="24"/>
                <w:lang w:val="en-GB" w:bidi="ar-AE"/>
              </w:rPr>
              <w:t>的最终控制人为</w:t>
            </w:r>
            <w:r w:rsidR="0043490A">
              <w:rPr>
                <w:rFonts w:ascii="宋体" w:hAnsi="宋体" w:hint="eastAsia"/>
                <w:sz w:val="24"/>
                <w:szCs w:val="24"/>
              </w:rPr>
              <w:t>安徽创谷新材料有限公司</w:t>
            </w:r>
            <w:r w:rsidR="0043490A">
              <w:rPr>
                <w:rFonts w:ascii="宋体" w:hAnsi="宋体" w:hint="eastAsia"/>
                <w:sz w:val="24"/>
                <w:szCs w:val="24"/>
              </w:rPr>
              <w:t>，主要业务为</w:t>
            </w:r>
            <w:r w:rsidR="0043490A" w:rsidRPr="0043490A">
              <w:rPr>
                <w:rFonts w:ascii="宋体" w:eastAsia="宋体" w:hAnsi="宋体" w:cs="宋体" w:hint="eastAsia"/>
                <w:sz w:val="24"/>
                <w:szCs w:val="24"/>
                <w:lang w:val="en-GB" w:bidi="ar-AE"/>
              </w:rPr>
              <w:t>化工新材料（除危险品）生产，企业管理咨询，财务</w:t>
            </w:r>
            <w:r w:rsidR="0043490A">
              <w:rPr>
                <w:rFonts w:ascii="宋体" w:eastAsia="宋体" w:hAnsi="宋体" w:cs="宋体" w:hint="eastAsia"/>
                <w:sz w:val="24"/>
                <w:szCs w:val="24"/>
                <w:lang w:val="en-GB" w:bidi="ar-AE"/>
              </w:rPr>
              <w:t>咨询等。</w:t>
            </w:r>
          </w:p>
        </w:tc>
      </w:tr>
      <w:tr w:rsidR="00AE7D44">
        <w:trPr>
          <w:trHeight w:val="279"/>
        </w:trPr>
        <w:tc>
          <w:tcPr>
            <w:tcW w:w="1940" w:type="dxa"/>
            <w:vMerge w:val="restart"/>
            <w:shd w:val="clear" w:color="auto" w:fill="D9D9D9"/>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t>简易案件理由（可以单选，也可以多选）</w:t>
            </w:r>
          </w:p>
        </w:tc>
        <w:tc>
          <w:tcPr>
            <w:tcW w:w="7700" w:type="dxa"/>
            <w:gridSpan w:val="2"/>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1、在同一相关市场，所有参与集中的经营者所占市场份额之和小于15%。</w:t>
            </w:r>
          </w:p>
        </w:tc>
      </w:tr>
      <w:tr w:rsidR="00AE7D44">
        <w:trPr>
          <w:trHeight w:val="330"/>
        </w:trPr>
        <w:tc>
          <w:tcPr>
            <w:tcW w:w="1940" w:type="dxa"/>
            <w:vMerge/>
            <w:shd w:val="clear" w:color="auto" w:fill="D9D9D9"/>
            <w:vAlign w:val="center"/>
          </w:tcPr>
          <w:p w:rsidR="00AE7D44" w:rsidRDefault="00AE7D44">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rsidR="00AE7D44" w:rsidRDefault="00A36145">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FE"/>
            </w:r>
            <w:r>
              <w:rPr>
                <w:rFonts w:ascii="宋体" w:eastAsia="宋体" w:hAnsi="宋体" w:cs="宋体" w:hint="eastAsia"/>
                <w:bCs/>
                <w:color w:val="000000"/>
                <w:sz w:val="24"/>
                <w:szCs w:val="24"/>
                <w:lang w:val="en-GB" w:bidi="ar-AE"/>
              </w:rPr>
              <w:t xml:space="preserve"> 2、存在上下游关系的参与集中的经营者，在上下游市场所占的市场份额均小于25%。</w:t>
            </w:r>
          </w:p>
        </w:tc>
      </w:tr>
      <w:tr w:rsidR="00AE7D44">
        <w:trPr>
          <w:trHeight w:val="285"/>
        </w:trPr>
        <w:tc>
          <w:tcPr>
            <w:tcW w:w="1940" w:type="dxa"/>
            <w:vMerge/>
            <w:shd w:val="clear" w:color="auto" w:fill="D9D9D9"/>
            <w:vAlign w:val="center"/>
          </w:tcPr>
          <w:p w:rsidR="00AE7D44" w:rsidRDefault="00AE7D44">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3、不在同一相关市场、也不存在上下游关系的参与集中的经营者，在与交易有关的每个市场所占的份额均小于25%。</w:t>
            </w:r>
          </w:p>
        </w:tc>
      </w:tr>
      <w:tr w:rsidR="00AE7D44">
        <w:trPr>
          <w:trHeight w:val="870"/>
        </w:trPr>
        <w:tc>
          <w:tcPr>
            <w:tcW w:w="1940" w:type="dxa"/>
            <w:vMerge/>
            <w:shd w:val="clear" w:color="auto" w:fill="D9D9D9"/>
            <w:vAlign w:val="center"/>
          </w:tcPr>
          <w:p w:rsidR="00AE7D44" w:rsidRDefault="00AE7D44">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4、参与集中的经营者在中国境外设立合营企业，合营企业不在中国境内从事经济活动。</w:t>
            </w:r>
          </w:p>
        </w:tc>
      </w:tr>
      <w:tr w:rsidR="00AE7D44">
        <w:trPr>
          <w:trHeight w:val="264"/>
        </w:trPr>
        <w:tc>
          <w:tcPr>
            <w:tcW w:w="1940" w:type="dxa"/>
            <w:vMerge/>
            <w:shd w:val="clear" w:color="auto" w:fill="D9D9D9"/>
            <w:vAlign w:val="center"/>
          </w:tcPr>
          <w:p w:rsidR="00AE7D44" w:rsidRDefault="00AE7D44">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5、参与集中的经营者收购境外企业股权或资产的，该境外企业不在中国境内从事经济活动。</w:t>
            </w:r>
          </w:p>
        </w:tc>
      </w:tr>
      <w:tr w:rsidR="00AE7D44">
        <w:trPr>
          <w:trHeight w:val="345"/>
        </w:trPr>
        <w:tc>
          <w:tcPr>
            <w:tcW w:w="1940" w:type="dxa"/>
            <w:vMerge/>
            <w:shd w:val="clear" w:color="auto" w:fill="D9D9D9"/>
            <w:vAlign w:val="center"/>
          </w:tcPr>
          <w:p w:rsidR="00AE7D44" w:rsidRDefault="00AE7D44">
            <w:pPr>
              <w:adjustRightInd w:val="0"/>
              <w:snapToGrid w:val="0"/>
              <w:spacing w:after="0" w:line="240" w:lineRule="auto"/>
              <w:jc w:val="both"/>
              <w:rPr>
                <w:rFonts w:ascii="宋体" w:eastAsia="宋体" w:hAnsi="宋体" w:cs="宋体"/>
                <w:bCs/>
                <w:color w:val="000000"/>
                <w:sz w:val="24"/>
                <w:szCs w:val="24"/>
                <w:lang w:bidi="ar-AE"/>
              </w:rPr>
            </w:pPr>
          </w:p>
        </w:tc>
        <w:tc>
          <w:tcPr>
            <w:tcW w:w="7700" w:type="dxa"/>
            <w:gridSpan w:val="2"/>
            <w:vAlign w:val="center"/>
          </w:tcPr>
          <w:p w:rsidR="00AE7D44" w:rsidRDefault="00A36145">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val="en-GB" w:bidi="ar-AE"/>
              </w:rPr>
              <w:sym w:font="Wingdings" w:char="00A8"/>
            </w:r>
            <w:r>
              <w:rPr>
                <w:rFonts w:ascii="宋体" w:eastAsia="宋体" w:hAnsi="宋体" w:cs="宋体" w:hint="eastAsia"/>
                <w:bCs/>
                <w:color w:val="000000"/>
                <w:sz w:val="24"/>
                <w:szCs w:val="24"/>
                <w:lang w:val="en-GB" w:bidi="ar-AE"/>
              </w:rPr>
              <w:t xml:space="preserve"> 6、由两个以上的经营者共同控制的合营企业，通过集中被其中一个或一个以上经营者控制。</w:t>
            </w:r>
          </w:p>
        </w:tc>
      </w:tr>
      <w:tr w:rsidR="00AE7D44">
        <w:trPr>
          <w:trHeight w:val="1250"/>
        </w:trPr>
        <w:tc>
          <w:tcPr>
            <w:tcW w:w="1940" w:type="dxa"/>
            <w:shd w:val="clear" w:color="auto" w:fill="D9D9D9"/>
            <w:vAlign w:val="center"/>
          </w:tcPr>
          <w:p w:rsidR="00AE7D44" w:rsidRDefault="00000000">
            <w:pPr>
              <w:adjustRightInd w:val="0"/>
              <w:snapToGrid w:val="0"/>
              <w:spacing w:after="0" w:line="240" w:lineRule="auto"/>
              <w:jc w:val="both"/>
              <w:rPr>
                <w:rFonts w:ascii="宋体" w:eastAsia="宋体" w:hAnsi="宋体" w:cs="宋体"/>
                <w:bCs/>
                <w:color w:val="000000"/>
                <w:sz w:val="24"/>
                <w:szCs w:val="24"/>
                <w:lang w:bidi="ar-AE"/>
              </w:rPr>
            </w:pPr>
            <w:r>
              <w:rPr>
                <w:rFonts w:ascii="宋体" w:eastAsia="宋体" w:hAnsi="宋体" w:cs="宋体" w:hint="eastAsia"/>
                <w:bCs/>
                <w:color w:val="000000"/>
                <w:sz w:val="24"/>
                <w:szCs w:val="24"/>
                <w:lang w:bidi="ar-AE"/>
              </w:rPr>
              <w:t>备注</w:t>
            </w:r>
          </w:p>
        </w:tc>
        <w:tc>
          <w:tcPr>
            <w:tcW w:w="7700" w:type="dxa"/>
            <w:gridSpan w:val="2"/>
            <w:vAlign w:val="center"/>
          </w:tcPr>
          <w:p w:rsidR="003B68EA" w:rsidRDefault="003B68EA" w:rsidP="003B68EA">
            <w:pPr>
              <w:pStyle w:val="ac"/>
              <w:adjustRightInd w:val="0"/>
              <w:snapToGrid w:val="0"/>
              <w:spacing w:after="0"/>
              <w:rPr>
                <w:rFonts w:ascii="宋体" w:hAnsi="宋体" w:cs="宋体"/>
                <w:b/>
                <w:color w:val="000000"/>
                <w:lang w:eastAsia="zh-CN"/>
              </w:rPr>
            </w:pPr>
            <w:r>
              <w:rPr>
                <w:rFonts w:ascii="宋体" w:hAnsi="宋体" w:cs="宋体" w:hint="eastAsia"/>
                <w:b/>
                <w:color w:val="000000"/>
                <w:lang w:eastAsia="zh-CN"/>
              </w:rPr>
              <w:t>纵向关联：</w:t>
            </w:r>
          </w:p>
          <w:p w:rsidR="003B68EA" w:rsidRDefault="003B68EA" w:rsidP="003B68EA">
            <w:pPr>
              <w:pStyle w:val="ac"/>
              <w:adjustRightInd w:val="0"/>
              <w:snapToGrid w:val="0"/>
              <w:spacing w:after="0"/>
              <w:rPr>
                <w:rFonts w:ascii="宋体" w:hAnsi="宋体" w:cs="宋体"/>
                <w:bCs/>
                <w:color w:val="000000"/>
                <w:lang w:val="en-US" w:eastAsia="zh-CN"/>
              </w:rPr>
            </w:pPr>
            <w:r>
              <w:rPr>
                <w:rFonts w:ascii="宋体" w:hAnsi="宋体" w:cs="宋体" w:hint="eastAsia"/>
                <w:bCs/>
                <w:color w:val="000000"/>
                <w:lang w:eastAsia="zh-CN"/>
              </w:rPr>
              <w:t>上游：</w:t>
            </w:r>
            <w:r>
              <w:rPr>
                <w:rFonts w:ascii="宋体" w:hAnsi="宋体" w:cs="宋体"/>
                <w:bCs/>
                <w:color w:val="000000"/>
                <w:lang w:val="en-US" w:eastAsia="zh-CN"/>
              </w:rPr>
              <w:t>2023</w:t>
            </w:r>
            <w:r>
              <w:rPr>
                <w:rFonts w:ascii="宋体" w:hAnsi="宋体" w:cs="宋体" w:hint="eastAsia"/>
                <w:bCs/>
                <w:color w:val="000000"/>
                <w:lang w:val="en-US" w:eastAsia="zh-CN"/>
              </w:rPr>
              <w:t>年</w:t>
            </w:r>
            <w:r>
              <w:rPr>
                <w:rFonts w:ascii="宋体" w:hAnsi="宋体" w:cs="宋体" w:hint="eastAsia"/>
                <w:bCs/>
                <w:color w:val="000000"/>
                <w:lang w:eastAsia="zh-CN"/>
              </w:rPr>
              <w:t>中国境内磷酸铁</w:t>
            </w:r>
            <w:r>
              <w:rPr>
                <w:rFonts w:ascii="宋体" w:hAnsi="宋体" w:cs="宋体" w:hint="eastAsia"/>
                <w:bCs/>
                <w:color w:val="000000"/>
                <w:lang w:val="en-US" w:eastAsia="zh-CN"/>
              </w:rPr>
              <w:t>市场：</w:t>
            </w:r>
          </w:p>
          <w:p w:rsidR="003B68EA" w:rsidRDefault="003B68EA" w:rsidP="003B68EA">
            <w:pPr>
              <w:pStyle w:val="ac"/>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安纳达：</w:t>
            </w:r>
            <w:r w:rsidR="00D82EDF" w:rsidRPr="00D82EDF">
              <w:rPr>
                <w:rFonts w:ascii="宋体" w:hAnsi="宋体" w:cs="宋体"/>
                <w:bCs/>
                <w:color w:val="000000"/>
                <w:lang w:val="en-US" w:eastAsia="zh-CN"/>
              </w:rPr>
              <w:t>0-5%</w:t>
            </w:r>
          </w:p>
          <w:p w:rsidR="003B68EA" w:rsidRDefault="003B68EA" w:rsidP="003B68EA">
            <w:pPr>
              <w:pStyle w:val="ac"/>
              <w:adjustRightInd w:val="0"/>
              <w:snapToGrid w:val="0"/>
              <w:spacing w:after="0"/>
              <w:rPr>
                <w:rFonts w:ascii="宋体" w:hAnsi="宋体" w:cs="宋体"/>
                <w:bCs/>
                <w:color w:val="000000"/>
                <w:lang w:val="en-US" w:eastAsia="zh-CN"/>
              </w:rPr>
            </w:pPr>
            <w:r>
              <w:rPr>
                <w:rFonts w:ascii="宋体" w:hAnsi="宋体" w:cs="宋体" w:hint="eastAsia"/>
                <w:bCs/>
                <w:color w:val="000000"/>
                <w:lang w:val="en-US" w:eastAsia="zh-CN"/>
              </w:rPr>
              <w:t>下游：</w:t>
            </w:r>
            <w:r>
              <w:rPr>
                <w:rFonts w:ascii="宋体" w:hAnsi="宋体" w:cs="宋体"/>
                <w:bCs/>
                <w:color w:val="000000"/>
                <w:lang w:val="en-US" w:eastAsia="zh-CN"/>
              </w:rPr>
              <w:t>2023</w:t>
            </w:r>
            <w:r>
              <w:rPr>
                <w:rFonts w:ascii="宋体" w:hAnsi="宋体" w:cs="宋体" w:hint="eastAsia"/>
                <w:bCs/>
                <w:color w:val="000000"/>
                <w:lang w:val="en-US" w:eastAsia="zh-CN"/>
              </w:rPr>
              <w:t>年</w:t>
            </w:r>
            <w:r>
              <w:rPr>
                <w:rFonts w:ascii="宋体" w:hAnsi="宋体" w:cs="宋体" w:hint="eastAsia"/>
                <w:bCs/>
                <w:color w:val="000000"/>
                <w:lang w:eastAsia="zh-CN"/>
              </w:rPr>
              <w:t>中国境内</w:t>
            </w:r>
            <w:r w:rsidR="00360A74">
              <w:rPr>
                <w:rFonts w:ascii="宋体" w:hAnsi="宋体" w:cs="宋体" w:hint="eastAsia"/>
                <w:bCs/>
                <w:color w:val="000000"/>
                <w:lang w:val="en-US" w:eastAsia="zh-CN"/>
              </w:rPr>
              <w:t>磷酸铁锂</w:t>
            </w:r>
            <w:r>
              <w:rPr>
                <w:rFonts w:ascii="宋体" w:hAnsi="宋体" w:cs="宋体" w:hint="eastAsia"/>
                <w:bCs/>
                <w:color w:val="000000"/>
                <w:lang w:val="en-US" w:eastAsia="zh-CN"/>
              </w:rPr>
              <w:t>市场：</w:t>
            </w:r>
          </w:p>
          <w:p w:rsidR="00AE7D44" w:rsidRDefault="00360A74" w:rsidP="003B68EA">
            <w:pPr>
              <w:adjustRightInd w:val="0"/>
              <w:snapToGrid w:val="0"/>
              <w:spacing w:after="0" w:line="240" w:lineRule="auto"/>
              <w:jc w:val="both"/>
              <w:rPr>
                <w:rFonts w:ascii="宋体" w:eastAsia="宋体" w:hAnsi="宋体" w:cs="宋体"/>
                <w:bCs/>
                <w:color w:val="000000"/>
                <w:sz w:val="24"/>
                <w:szCs w:val="24"/>
                <w:lang w:val="en-GB" w:bidi="ar-AE"/>
              </w:rPr>
            </w:pPr>
            <w:r>
              <w:rPr>
                <w:rFonts w:ascii="宋体" w:eastAsia="宋体" w:hAnsi="宋体" w:cs="宋体" w:hint="eastAsia"/>
                <w:bCs/>
                <w:color w:val="000000"/>
                <w:sz w:val="24"/>
                <w:szCs w:val="24"/>
              </w:rPr>
              <w:t>万华电池</w:t>
            </w:r>
            <w:r w:rsidR="003B68EA">
              <w:rPr>
                <w:rFonts w:ascii="宋体" w:eastAsia="宋体" w:hAnsi="宋体" w:cs="宋体" w:hint="eastAsia"/>
                <w:bCs/>
                <w:color w:val="000000"/>
                <w:sz w:val="24"/>
                <w:szCs w:val="24"/>
              </w:rPr>
              <w:t>:</w:t>
            </w:r>
            <w:r w:rsidR="00D82EDF">
              <w:t xml:space="preserve"> </w:t>
            </w:r>
            <w:r w:rsidR="00D82EDF" w:rsidRPr="00D82EDF">
              <w:rPr>
                <w:rFonts w:ascii="宋体" w:eastAsia="宋体" w:hAnsi="宋体" w:cs="宋体"/>
                <w:bCs/>
                <w:color w:val="000000"/>
                <w:sz w:val="24"/>
                <w:szCs w:val="24"/>
              </w:rPr>
              <w:t>0-5%</w:t>
            </w:r>
          </w:p>
        </w:tc>
      </w:tr>
    </w:tbl>
    <w:p w:rsidR="00AE7D44" w:rsidRDefault="00AE7D44">
      <w:pPr>
        <w:adjustRightInd w:val="0"/>
        <w:snapToGrid w:val="0"/>
        <w:spacing w:after="0" w:line="240" w:lineRule="auto"/>
        <w:jc w:val="both"/>
        <w:rPr>
          <w:rFonts w:ascii="Arial" w:eastAsia="楷体_GB2312" w:hAnsi="Arial" w:cs="Arial"/>
          <w:b/>
          <w:color w:val="000000"/>
          <w:lang w:val="en-GB" w:bidi="ar-AE"/>
        </w:rPr>
      </w:pPr>
    </w:p>
    <w:p w:rsidR="00AE7D44" w:rsidRDefault="00AE7D44">
      <w:pPr>
        <w:spacing w:after="240" w:line="240" w:lineRule="auto"/>
        <w:jc w:val="both"/>
        <w:rPr>
          <w:rFonts w:ascii="宋体" w:eastAsia="宋体" w:hAnsi="宋体" w:cs="宋体"/>
          <w:bCs/>
          <w:color w:val="000000"/>
          <w:sz w:val="28"/>
          <w:szCs w:val="28"/>
          <w:lang w:val="en-GB" w:bidi="ar-AE"/>
        </w:rPr>
      </w:pPr>
    </w:p>
    <w:p w:rsidR="00AE7D44" w:rsidRDefault="00AE7D44"/>
    <w:sectPr w:rsidR="00AE7D44">
      <w:footerReference w:type="default" r:id="rId6"/>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74E3" w:rsidRDefault="007C74E3">
      <w:pPr>
        <w:spacing w:line="240" w:lineRule="auto"/>
      </w:pPr>
      <w:r>
        <w:separator/>
      </w:r>
    </w:p>
  </w:endnote>
  <w:endnote w:type="continuationSeparator" w:id="0">
    <w:p w:rsidR="007C74E3" w:rsidRDefault="007C7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panose1 w:val="02020603050405020304"/>
    <w:charset w:val="B2"/>
    <w:family w:val="roman"/>
    <w:pitch w:val="variable"/>
    <w:sig w:usb0="00002003" w:usb1="80000000" w:usb2="00000008" w:usb3="00000000" w:csb0="00000041" w:csb1="00000000"/>
  </w:font>
  <w:font w:name="SimHei">
    <w:altName w:val="黑体"/>
    <w:panose1 w:val="02010609060101010101"/>
    <w:charset w:val="86"/>
    <w:family w:val="modern"/>
    <w:pitch w:val="fixed"/>
    <w:sig w:usb0="800002BF" w:usb1="38CF7CFA"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楷体_GB2312">
    <w:altName w:val="微软雅黑"/>
    <w:panose1 w:val="020B0604020202020204"/>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3007"/>
      <w:gridCol w:w="3011"/>
      <w:gridCol w:w="3008"/>
    </w:tblGrid>
    <w:tr w:rsidR="00AE7D44">
      <w:tc>
        <w:tcPr>
          <w:tcW w:w="3080" w:type="dxa"/>
        </w:tcPr>
        <w:p w:rsidR="00AE7D44" w:rsidRDefault="00AE7D44">
          <w:pPr>
            <w:pStyle w:val="a6"/>
          </w:pPr>
        </w:p>
      </w:tc>
      <w:tc>
        <w:tcPr>
          <w:tcW w:w="3081" w:type="dxa"/>
        </w:tcPr>
        <w:p w:rsidR="00AE7D44" w:rsidRDefault="00000000">
          <w:pPr>
            <w:pStyle w:val="a6"/>
            <w:jc w:val="center"/>
            <w:rPr>
              <w:rStyle w:val="ab"/>
              <w:rFonts w:cs="Times New Roman"/>
            </w:rPr>
          </w:pPr>
          <w:r>
            <w:rPr>
              <w:rStyle w:val="ab"/>
              <w:rFonts w:cs="Times New Roman"/>
            </w:rPr>
            <w:t xml:space="preserve">- </w:t>
          </w:r>
          <w:r>
            <w:rPr>
              <w:rStyle w:val="ab"/>
              <w:rFonts w:cs="Times New Roman"/>
            </w:rPr>
            <w:fldChar w:fldCharType="begin"/>
          </w:r>
          <w:r>
            <w:rPr>
              <w:rStyle w:val="ab"/>
              <w:rFonts w:cs="Times New Roman"/>
            </w:rPr>
            <w:instrText xml:space="preserve"> PAGE   \* MERGEFORMAT </w:instrText>
          </w:r>
          <w:r>
            <w:rPr>
              <w:rStyle w:val="ab"/>
              <w:rFonts w:cs="Times New Roman"/>
            </w:rPr>
            <w:fldChar w:fldCharType="separate"/>
          </w:r>
          <w:r>
            <w:rPr>
              <w:rStyle w:val="ab"/>
              <w:rFonts w:cs="Times New Roman"/>
              <w:lang w:val="en-US"/>
            </w:rPr>
            <w:t>1</w:t>
          </w:r>
          <w:r>
            <w:rPr>
              <w:rStyle w:val="ab"/>
              <w:rFonts w:cs="Times New Roman"/>
            </w:rPr>
            <w:fldChar w:fldCharType="end"/>
          </w:r>
          <w:r>
            <w:rPr>
              <w:rStyle w:val="ab"/>
              <w:rFonts w:cs="Times New Roman"/>
            </w:rPr>
            <w:t xml:space="preserve"> -</w:t>
          </w:r>
        </w:p>
      </w:tc>
      <w:tc>
        <w:tcPr>
          <w:tcW w:w="3081" w:type="dxa"/>
        </w:tcPr>
        <w:p w:rsidR="00AE7D44" w:rsidRDefault="00AE7D44">
          <w:pPr>
            <w:pStyle w:val="FooterRight"/>
          </w:pPr>
        </w:p>
      </w:tc>
    </w:tr>
  </w:tbl>
  <w:p w:rsidR="00AE7D44" w:rsidRDefault="00AE7D4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74E3" w:rsidRDefault="007C74E3">
      <w:pPr>
        <w:spacing w:after="0"/>
      </w:pPr>
      <w:r>
        <w:separator/>
      </w:r>
    </w:p>
  </w:footnote>
  <w:footnote w:type="continuationSeparator" w:id="0">
    <w:p w:rsidR="007C74E3" w:rsidRDefault="007C74E3">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wZDhlOWJjMzNiZmIzOTJmMDNmMDk1ZWE3NjYwYmIifQ=="/>
  </w:docVars>
  <w:rsids>
    <w:rsidRoot w:val="00260AA8"/>
    <w:rsid w:val="83FEFFB4"/>
    <w:rsid w:val="8FAB8BF1"/>
    <w:rsid w:val="AA3F3145"/>
    <w:rsid w:val="BBFF89E7"/>
    <w:rsid w:val="BEBC342D"/>
    <w:rsid w:val="BFDAC19B"/>
    <w:rsid w:val="D1FDE433"/>
    <w:rsid w:val="D3FBB522"/>
    <w:rsid w:val="D9DB0420"/>
    <w:rsid w:val="DCFEC847"/>
    <w:rsid w:val="DFF30202"/>
    <w:rsid w:val="E7FE7A23"/>
    <w:rsid w:val="F39DF143"/>
    <w:rsid w:val="F7BE4ED6"/>
    <w:rsid w:val="F9BF1D70"/>
    <w:rsid w:val="F9F03496"/>
    <w:rsid w:val="FAF87562"/>
    <w:rsid w:val="FD5FB022"/>
    <w:rsid w:val="FD77CF77"/>
    <w:rsid w:val="FEDF2EE1"/>
    <w:rsid w:val="FEEEB40C"/>
    <w:rsid w:val="FEFE038E"/>
    <w:rsid w:val="FF3EA310"/>
    <w:rsid w:val="FF45C50B"/>
    <w:rsid w:val="FF7F81F3"/>
    <w:rsid w:val="FFDC942C"/>
    <w:rsid w:val="000874E6"/>
    <w:rsid w:val="00093404"/>
    <w:rsid w:val="00097D9E"/>
    <w:rsid w:val="000D4057"/>
    <w:rsid w:val="00102A0A"/>
    <w:rsid w:val="001A6E02"/>
    <w:rsid w:val="001D03CF"/>
    <w:rsid w:val="001D7131"/>
    <w:rsid w:val="001D7F68"/>
    <w:rsid w:val="001F113C"/>
    <w:rsid w:val="001F7116"/>
    <w:rsid w:val="00215E7A"/>
    <w:rsid w:val="00252438"/>
    <w:rsid w:val="00260AA8"/>
    <w:rsid w:val="002A63BD"/>
    <w:rsid w:val="00360A74"/>
    <w:rsid w:val="003679FF"/>
    <w:rsid w:val="00390532"/>
    <w:rsid w:val="003B68EA"/>
    <w:rsid w:val="00406C1E"/>
    <w:rsid w:val="00415E2C"/>
    <w:rsid w:val="0043490A"/>
    <w:rsid w:val="004469BF"/>
    <w:rsid w:val="00470B3B"/>
    <w:rsid w:val="004B6849"/>
    <w:rsid w:val="00537244"/>
    <w:rsid w:val="005452DA"/>
    <w:rsid w:val="005510BE"/>
    <w:rsid w:val="00583F6E"/>
    <w:rsid w:val="00596B05"/>
    <w:rsid w:val="005A792C"/>
    <w:rsid w:val="005D6972"/>
    <w:rsid w:val="005E04F6"/>
    <w:rsid w:val="005F0949"/>
    <w:rsid w:val="006142A5"/>
    <w:rsid w:val="00630A1F"/>
    <w:rsid w:val="006318AE"/>
    <w:rsid w:val="006F6E4D"/>
    <w:rsid w:val="00701E3E"/>
    <w:rsid w:val="00703BC0"/>
    <w:rsid w:val="00724A5F"/>
    <w:rsid w:val="00727F00"/>
    <w:rsid w:val="00784A90"/>
    <w:rsid w:val="007909B8"/>
    <w:rsid w:val="00793308"/>
    <w:rsid w:val="00795B70"/>
    <w:rsid w:val="007A7CE5"/>
    <w:rsid w:val="007B68BF"/>
    <w:rsid w:val="007C66D9"/>
    <w:rsid w:val="007C74E3"/>
    <w:rsid w:val="007D5E61"/>
    <w:rsid w:val="007F57FE"/>
    <w:rsid w:val="008409C6"/>
    <w:rsid w:val="008746A4"/>
    <w:rsid w:val="008C27CF"/>
    <w:rsid w:val="0091155A"/>
    <w:rsid w:val="00991705"/>
    <w:rsid w:val="00A336EC"/>
    <w:rsid w:val="00A36145"/>
    <w:rsid w:val="00A45232"/>
    <w:rsid w:val="00A562EF"/>
    <w:rsid w:val="00AE4FA1"/>
    <w:rsid w:val="00AE7D44"/>
    <w:rsid w:val="00B27BAD"/>
    <w:rsid w:val="00B82A53"/>
    <w:rsid w:val="00BB1882"/>
    <w:rsid w:val="00BC1FC6"/>
    <w:rsid w:val="00BC5FFD"/>
    <w:rsid w:val="00BD559B"/>
    <w:rsid w:val="00BF6EBD"/>
    <w:rsid w:val="00BF7F4B"/>
    <w:rsid w:val="00C03B64"/>
    <w:rsid w:val="00C1232D"/>
    <w:rsid w:val="00C51888"/>
    <w:rsid w:val="00C6438C"/>
    <w:rsid w:val="00C85635"/>
    <w:rsid w:val="00C91257"/>
    <w:rsid w:val="00CA19E9"/>
    <w:rsid w:val="00D01504"/>
    <w:rsid w:val="00D06C87"/>
    <w:rsid w:val="00D14733"/>
    <w:rsid w:val="00D450D1"/>
    <w:rsid w:val="00D4704D"/>
    <w:rsid w:val="00D57C26"/>
    <w:rsid w:val="00D82EDF"/>
    <w:rsid w:val="00DD2660"/>
    <w:rsid w:val="00DE1C4D"/>
    <w:rsid w:val="00DF7AB5"/>
    <w:rsid w:val="00DF7B5D"/>
    <w:rsid w:val="00E17C0C"/>
    <w:rsid w:val="00E65D96"/>
    <w:rsid w:val="00EC2175"/>
    <w:rsid w:val="00F85EDF"/>
    <w:rsid w:val="00FA1A1A"/>
    <w:rsid w:val="00FB7CE8"/>
    <w:rsid w:val="00FC65D5"/>
    <w:rsid w:val="00FD3E36"/>
    <w:rsid w:val="136FC59E"/>
    <w:rsid w:val="16F9D33C"/>
    <w:rsid w:val="1F6797F8"/>
    <w:rsid w:val="1FDCD8F2"/>
    <w:rsid w:val="24F77AD0"/>
    <w:rsid w:val="2DED0366"/>
    <w:rsid w:val="2DFF9399"/>
    <w:rsid w:val="33FEE29B"/>
    <w:rsid w:val="3C6A08A1"/>
    <w:rsid w:val="3E760DA2"/>
    <w:rsid w:val="4DFB6F6F"/>
    <w:rsid w:val="57E8EB5D"/>
    <w:rsid w:val="5A56B790"/>
    <w:rsid w:val="5AB5A959"/>
    <w:rsid w:val="5E1C59A4"/>
    <w:rsid w:val="6D071A6C"/>
    <w:rsid w:val="6FDF87C6"/>
    <w:rsid w:val="73BF6BDB"/>
    <w:rsid w:val="77B7BDD1"/>
    <w:rsid w:val="78BBB395"/>
    <w:rsid w:val="7ADE3512"/>
    <w:rsid w:val="7B5729F4"/>
    <w:rsid w:val="7CBF486E"/>
    <w:rsid w:val="7EAFD474"/>
    <w:rsid w:val="7EFF8D19"/>
    <w:rsid w:val="7F7BC666"/>
    <w:rsid w:val="7FC3A66D"/>
    <w:rsid w:val="7FC59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03E368"/>
  <w15:docId w15:val="{FD5568C8-88DD-3042-99B4-A29024C53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style>
  <w:style w:type="paragraph" w:styleId="a4">
    <w:name w:val="Balloon Text"/>
    <w:basedOn w:val="a"/>
    <w:link w:val="a5"/>
    <w:uiPriority w:val="99"/>
    <w:semiHidden/>
    <w:unhideWhenUsed/>
    <w:qFormat/>
    <w:pPr>
      <w:spacing w:after="0" w:line="240" w:lineRule="auto"/>
    </w:pPr>
    <w:rPr>
      <w:sz w:val="18"/>
      <w:szCs w:val="18"/>
    </w:rPr>
  </w:style>
  <w:style w:type="paragraph" w:styleId="a6">
    <w:name w:val="footer"/>
    <w:basedOn w:val="a"/>
    <w:link w:val="a7"/>
    <w:uiPriority w:val="99"/>
    <w:unhideWhenUsed/>
    <w:qFormat/>
    <w:pPr>
      <w:tabs>
        <w:tab w:val="center" w:pos="4320"/>
        <w:tab w:val="right" w:pos="8640"/>
      </w:tabs>
      <w:spacing w:after="0" w:line="240" w:lineRule="auto"/>
    </w:pPr>
  </w:style>
  <w:style w:type="paragraph" w:styleId="a8">
    <w:name w:val="header"/>
    <w:basedOn w:val="a"/>
    <w:link w:val="a9"/>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qFormat/>
    <w:rPr>
      <w:rFonts w:ascii="Times New Roman" w:eastAsia="宋体" w:hAnsi="Times New Roman" w:cs="Simplified Arabic"/>
      <w:sz w:val="24"/>
      <w:szCs w:val="24"/>
      <w:lang w:val="en-GB" w:bidi="ar-AE"/>
    </w:rPr>
  </w:style>
  <w:style w:type="character" w:customStyle="1" w:styleId="a7">
    <w:name w:val="页脚 字符"/>
    <w:basedOn w:val="a0"/>
    <w:link w:val="a6"/>
    <w:uiPriority w:val="99"/>
    <w:qFormat/>
  </w:style>
  <w:style w:type="paragraph" w:customStyle="1" w:styleId="FooterRight">
    <w:name w:val="Footer Right"/>
    <w:basedOn w:val="a6"/>
    <w:qFormat/>
    <w:pPr>
      <w:tabs>
        <w:tab w:val="clear" w:pos="4320"/>
        <w:tab w:val="clear" w:pos="8640"/>
      </w:tabs>
      <w:jc w:val="right"/>
    </w:pPr>
    <w:rPr>
      <w:rFonts w:ascii="Times New Roman" w:eastAsia="宋体" w:hAnsi="Times New Roman" w:cs="Times New Roman"/>
      <w:sz w:val="16"/>
      <w:szCs w:val="16"/>
      <w:lang w:val="en-GB" w:bidi="he-IL"/>
    </w:rPr>
  </w:style>
  <w:style w:type="character" w:customStyle="1" w:styleId="a5">
    <w:name w:val="批注框文本 字符"/>
    <w:basedOn w:val="a0"/>
    <w:link w:val="a4"/>
    <w:uiPriority w:val="99"/>
    <w:semiHidden/>
    <w:qFormat/>
    <w:rPr>
      <w:sz w:val="18"/>
      <w:szCs w:val="18"/>
    </w:rPr>
  </w:style>
  <w:style w:type="paragraph" w:customStyle="1" w:styleId="1">
    <w:name w:val="修订1"/>
    <w:hidden/>
    <w:uiPriority w:val="99"/>
    <w:semiHidden/>
    <w:qFormat/>
    <w:rPr>
      <w:sz w:val="22"/>
      <w:szCs w:val="22"/>
    </w:rPr>
  </w:style>
  <w:style w:type="character" w:customStyle="1" w:styleId="fontstyle01">
    <w:name w:val="fontstyle01"/>
    <w:basedOn w:val="a0"/>
    <w:qFormat/>
    <w:rPr>
      <w:rFonts w:ascii="宋体" w:eastAsia="宋体" w:hAnsi="宋体" w:hint="eastAsia"/>
      <w:color w:val="000000"/>
      <w:sz w:val="24"/>
      <w:szCs w:val="24"/>
    </w:rPr>
  </w:style>
  <w:style w:type="character" w:customStyle="1" w:styleId="a9">
    <w:name w:val="页眉 字符"/>
    <w:basedOn w:val="a0"/>
    <w:link w:val="a8"/>
    <w:uiPriority w:val="99"/>
    <w:rPr>
      <w:sz w:val="18"/>
      <w:szCs w:val="18"/>
    </w:rPr>
  </w:style>
  <w:style w:type="paragraph" w:styleId="ac">
    <w:name w:val="Body Text"/>
    <w:basedOn w:val="a"/>
    <w:link w:val="ad"/>
    <w:rsid w:val="003B68EA"/>
    <w:pPr>
      <w:spacing w:after="240" w:line="240" w:lineRule="auto"/>
      <w:jc w:val="both"/>
    </w:pPr>
    <w:rPr>
      <w:rFonts w:ascii="Times New Roman" w:eastAsia="宋体" w:hAnsi="Times New Roman" w:cs="Simplified Arabic"/>
      <w:sz w:val="24"/>
      <w:szCs w:val="24"/>
      <w:lang w:val="en-GB" w:eastAsia="en-GB" w:bidi="ar-AE"/>
    </w:rPr>
  </w:style>
  <w:style w:type="character" w:customStyle="1" w:styleId="ad">
    <w:name w:val="正文文本 字符"/>
    <w:basedOn w:val="a0"/>
    <w:link w:val="ac"/>
    <w:rsid w:val="003B68EA"/>
    <w:rPr>
      <w:rFonts w:ascii="Times New Roman" w:eastAsia="宋体" w:hAnsi="Times New Roman" w:cs="Simplified Arabic"/>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92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aHui">
      <a:majorFont>
        <a:latin typeface="Times New Roman"/>
        <a:ea typeface="SimSun"/>
        <a:cs typeface=""/>
      </a:majorFont>
      <a:minorFont>
        <a:latin typeface="Times New Roman"/>
        <a:ea typeface="SimSu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DaHui Lawyers</dc:creator>
  <cp:lastModifiedBy>DeHeng</cp:lastModifiedBy>
  <cp:revision>82</cp:revision>
  <dcterms:created xsi:type="dcterms:W3CDTF">2022-10-29T08:53:00Z</dcterms:created>
  <dcterms:modified xsi:type="dcterms:W3CDTF">2024-03-08T04:00:00Z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EF2F128D287649DE99ADAE37E9B49905</vt:lpwstr>
  </property>
</Properties>
</file>