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黑体" w:cs="Times New Roman"/>
          <w:bCs/>
          <w:kern w:val="0"/>
          <w:sz w:val="36"/>
          <w:szCs w:val="36"/>
          <w:lang w:val="en-GB" w:bidi="ar-AE"/>
        </w:rPr>
      </w:pPr>
      <w:r>
        <w:rPr>
          <w:rFonts w:hint="default" w:ascii="Times New Roman" w:hAnsi="Times New Roman" w:eastAsia="黑体" w:cs="Times New Roman"/>
          <w:bCs/>
          <w:sz w:val="36"/>
          <w:szCs w:val="36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Cs/>
          <w:kern w:val="0"/>
          <w:sz w:val="36"/>
          <w:szCs w:val="36"/>
          <w:lang w:val="en-GB" w:bidi="ar-AE"/>
        </w:rPr>
        <w:t>经营者集中简易案件公示表</w:t>
      </w:r>
    </w:p>
    <w:p>
      <w:pPr>
        <w:adjustRightInd w:val="0"/>
        <w:snapToGrid w:val="0"/>
        <w:rPr>
          <w:rFonts w:hint="default" w:ascii="Times New Roman" w:hAnsi="Times New Roman" w:cs="Times New Roman" w:eastAsiaTheme="minorEastAsia"/>
        </w:rPr>
      </w:pPr>
    </w:p>
    <w:tbl>
      <w:tblPr>
        <w:tblStyle w:val="7"/>
        <w:tblW w:w="8648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4"/>
        <w:gridCol w:w="2152"/>
        <w:gridCol w:w="49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4" w:type="dxa"/>
            <w:shd w:val="clear" w:color="auto" w:fill="D9D9D9"/>
            <w:vAlign w:val="center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案件名称</w:t>
            </w:r>
          </w:p>
        </w:tc>
        <w:tc>
          <w:tcPr>
            <w:tcW w:w="7114" w:type="dxa"/>
            <w:gridSpan w:val="2"/>
            <w:vAlign w:val="center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Corio Generation Limited与 Bord Gáis Energy Limited新设合营企业案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534" w:type="dxa"/>
            <w:shd w:val="clear" w:color="auto" w:fill="D9D9D9"/>
            <w:vAlign w:val="center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交易概况（限200字内）</w:t>
            </w:r>
          </w:p>
        </w:tc>
        <w:tc>
          <w:tcPr>
            <w:tcW w:w="7114" w:type="dxa"/>
            <w:gridSpan w:val="2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Corio Generation Limited (“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Corio Generation</w:t>
            </w:r>
            <w:r>
              <w:rPr>
                <w:rFonts w:ascii="Times New Roman" w:hAnsi="Times New Roman"/>
                <w:sz w:val="24"/>
                <w:szCs w:val="24"/>
              </w:rPr>
              <w:t>”）</w:t>
            </w:r>
            <w:r>
              <w:rPr>
                <w:rFonts w:hint="eastAsia" w:ascii="Times New Roman" w:hAnsi="Times New Roman"/>
                <w:sz w:val="24"/>
                <w:szCs w:val="24"/>
              </w:rPr>
              <w:t>与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Bord Gáis Energy Limited（“</w:t>
            </w:r>
            <w:r>
              <w:rPr>
                <w:rFonts w:hint="eastAsia" w:ascii="Times New Roman" w:hAnsi="Times New Roman"/>
                <w:b/>
                <w:bCs/>
                <w:kern w:val="0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GE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”）</w:t>
            </w:r>
            <w:r>
              <w:rPr>
                <w:rFonts w:ascii="Times New Roman" w:hAnsi="Times New Roman"/>
                <w:sz w:val="24"/>
                <w:szCs w:val="24"/>
              </w:rPr>
              <w:t>签订协议，</w:t>
            </w:r>
            <w:r>
              <w:rPr>
                <w:rFonts w:hint="eastAsia" w:ascii="Times New Roman" w:hAnsi="Times New Roman"/>
                <w:sz w:val="24"/>
                <w:szCs w:val="24"/>
              </w:rPr>
              <w:t>拟在爱尔兰共同设立一家合营企业</w:t>
            </w:r>
            <w:r>
              <w:rPr>
                <w:rFonts w:ascii="Times New Roman" w:hAnsi="Times New Roman"/>
                <w:sz w:val="24"/>
                <w:szCs w:val="24"/>
              </w:rPr>
              <w:t>（“</w:t>
            </w:r>
            <w:r>
              <w:rPr>
                <w:rFonts w:hint="eastAsia" w:ascii="Times New Roman" w:hAnsi="Times New Roman"/>
                <w:b/>
                <w:bCs/>
                <w:sz w:val="24"/>
                <w:szCs w:val="24"/>
              </w:rPr>
              <w:t>合营企业</w:t>
            </w:r>
            <w:r>
              <w:rPr>
                <w:rFonts w:ascii="Times New Roman" w:hAnsi="Times New Roman"/>
                <w:sz w:val="24"/>
                <w:szCs w:val="24"/>
              </w:rPr>
              <w:t>”）。</w:t>
            </w:r>
            <w:r>
              <w:rPr>
                <w:rFonts w:hint="eastAsia" w:ascii="Times New Roman" w:hAnsi="Times New Roman"/>
                <w:sz w:val="24"/>
                <w:szCs w:val="24"/>
              </w:rPr>
              <w:t>合营企业</w:t>
            </w:r>
            <w:r>
              <w:rPr>
                <w:rFonts w:ascii="Times New Roman" w:hAnsi="Times New Roman"/>
                <w:sz w:val="24"/>
                <w:szCs w:val="24"/>
              </w:rPr>
              <w:t>仅在</w:t>
            </w:r>
            <w:r>
              <w:rPr>
                <w:rFonts w:hint="eastAsia" w:ascii="Times New Roman" w:hAnsi="Times New Roman"/>
                <w:sz w:val="24"/>
                <w:szCs w:val="24"/>
              </w:rPr>
              <w:t>爱尔兰</w:t>
            </w:r>
            <w:r>
              <w:rPr>
                <w:rFonts w:ascii="Times New Roman" w:hAnsi="Times New Roman"/>
                <w:sz w:val="24"/>
                <w:szCs w:val="24"/>
              </w:rPr>
              <w:t>从事海上风力发电业务，其在中国境内没有也不会有任何业务活动。</w:t>
            </w:r>
          </w:p>
          <w:p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本次交易后，Corio Generation</w:t>
            </w:r>
            <w:r>
              <w:rPr>
                <w:rFonts w:hint="eastAsia" w:ascii="Times New Roman" w:hAnsi="Times New Roman"/>
                <w:sz w:val="24"/>
                <w:szCs w:val="24"/>
              </w:rPr>
              <w:t>将持有合营企业7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hint="eastAsia" w:ascii="Times New Roman" w:hAnsi="Times New Roman"/>
                <w:sz w:val="24"/>
                <w:szCs w:val="24"/>
              </w:rPr>
              <w:t>%的股权，B</w:t>
            </w:r>
            <w:r>
              <w:rPr>
                <w:rFonts w:ascii="Times New Roman" w:hAnsi="Times New Roman"/>
                <w:sz w:val="24"/>
                <w:szCs w:val="24"/>
              </w:rPr>
              <w:t>GE</w:t>
            </w:r>
            <w:r>
              <w:rPr>
                <w:rFonts w:hint="eastAsia" w:ascii="Times New Roman" w:hAnsi="Times New Roman"/>
                <w:sz w:val="24"/>
                <w:szCs w:val="24"/>
              </w:rPr>
              <w:t>将持有合营企业3</w:t>
            </w:r>
            <w:r>
              <w:rPr>
                <w:rFonts w:ascii="Times New Roman" w:hAnsi="Times New Roman"/>
                <w:sz w:val="24"/>
                <w:szCs w:val="24"/>
              </w:rPr>
              <w:t>0%</w:t>
            </w:r>
            <w:r>
              <w:rPr>
                <w:rFonts w:hint="eastAsia" w:ascii="Times New Roman" w:hAnsi="Times New Roman"/>
                <w:sz w:val="24"/>
                <w:szCs w:val="24"/>
              </w:rPr>
              <w:t>的股权，二者</w:t>
            </w:r>
            <w:r>
              <w:rPr>
                <w:rFonts w:ascii="Times New Roman" w:hAnsi="Times New Roman"/>
                <w:sz w:val="24"/>
                <w:szCs w:val="24"/>
              </w:rPr>
              <w:t>将共同控制</w:t>
            </w:r>
            <w:r>
              <w:rPr>
                <w:rFonts w:hint="eastAsia" w:ascii="Times New Roman" w:hAnsi="Times New Roman"/>
                <w:sz w:val="24"/>
                <w:szCs w:val="24"/>
              </w:rPr>
              <w:t>合营企业</w:t>
            </w:r>
            <w:r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534" w:type="dxa"/>
            <w:vMerge w:val="restart"/>
            <w:shd w:val="clear" w:color="auto" w:fill="D9D9D9"/>
            <w:vAlign w:val="center"/>
          </w:tcPr>
          <w:p>
            <w:pPr>
              <w:snapToGrid w:val="0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参与集中的</w:t>
            </w:r>
          </w:p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经营者简介</w:t>
            </w:r>
          </w:p>
        </w:tc>
        <w:tc>
          <w:tcPr>
            <w:tcW w:w="2152" w:type="dxa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1. Corio Generation</w:t>
            </w:r>
          </w:p>
        </w:tc>
        <w:tc>
          <w:tcPr>
            <w:tcW w:w="4962" w:type="dxa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Corio Generation于2021年成立于英国。Corio Generation的业务是发起、开发、管理和建设海上风电项目。</w:t>
            </w:r>
          </w:p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Corio Generation的最终控制人为麦格理集团有限公司,其主要从事为客户提供关于债券、股权和商品的资产管理和金融服务、银行业务服务、咨询、以及风险解决方案和资本解决方案。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534" w:type="dxa"/>
            <w:vMerge w:val="continue"/>
            <w:shd w:val="clear" w:color="auto" w:fill="D9D9D9"/>
            <w:vAlign w:val="center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2" w:type="dxa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2. BGE</w:t>
            </w:r>
          </w:p>
        </w:tc>
        <w:tc>
          <w:tcPr>
            <w:tcW w:w="4962" w:type="dxa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BGE于2008年成立于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爱尔兰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。BFE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的</w:t>
            </w:r>
            <w:r>
              <w:rPr>
                <w:rFonts w:hint="eastAsia" w:ascii="Times" w:hAnsi="Times" w:cs="Arial"/>
                <w:sz w:val="22"/>
              </w:rPr>
              <w:t>主要业务是向爱尔兰的居民和企业客户提供天然气、电力和家庭护理服务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BGE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的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最终控制人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为</w:t>
            </w:r>
            <w:r>
              <w:rPr>
                <w:rFonts w:hint="eastAsia" w:ascii="Times" w:hAnsi="Times" w:cs="Arial"/>
                <w:sz w:val="22"/>
              </w:rPr>
              <w:t>Centrica</w:t>
            </w:r>
            <w:r>
              <w:rPr>
                <w:rFonts w:ascii="Times" w:hAnsi="Times" w:cs="Arial"/>
                <w:sz w:val="22"/>
              </w:rPr>
              <w:t xml:space="preserve"> plc</w:t>
            </w:r>
            <w:r>
              <w:rPr>
                <w:rFonts w:hint="eastAsia" w:ascii="Times" w:hAnsi="Times" w:cs="Arial"/>
                <w:sz w:val="22"/>
              </w:rPr>
              <w:t>，其主要在英国和爱尔兰从事能源的生产、交易、储存、供应和服务，同时在欧洲、北美和亚洲开展更广泛的活动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534" w:type="dxa"/>
            <w:vMerge w:val="restart"/>
            <w:shd w:val="clear" w:color="auto" w:fill="D9D9D9"/>
            <w:vAlign w:val="center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114" w:type="dxa"/>
            <w:gridSpan w:val="2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□1、在同一相关市场，所有参与集中的经营者所占市场份额之和小于15%。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34" w:type="dxa"/>
            <w:vMerge w:val="continue"/>
            <w:shd w:val="clear" w:color="auto" w:fill="D9D9D9"/>
            <w:vAlign w:val="center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4" w:type="dxa"/>
            <w:gridSpan w:val="2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34" w:type="dxa"/>
            <w:vMerge w:val="continue"/>
            <w:shd w:val="clear" w:color="auto" w:fill="D9D9D9"/>
            <w:vAlign w:val="center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4" w:type="dxa"/>
            <w:gridSpan w:val="2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1534" w:type="dxa"/>
            <w:vMerge w:val="continue"/>
            <w:shd w:val="clear" w:color="auto" w:fill="D9D9D9"/>
            <w:vAlign w:val="center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4" w:type="dxa"/>
            <w:gridSpan w:val="2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534" w:type="dxa"/>
            <w:vMerge w:val="continue"/>
            <w:shd w:val="clear" w:color="auto" w:fill="D9D9D9"/>
            <w:vAlign w:val="center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4" w:type="dxa"/>
            <w:gridSpan w:val="2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534" w:type="dxa"/>
            <w:vMerge w:val="continue"/>
            <w:shd w:val="clear" w:color="auto" w:fill="D9D9D9"/>
            <w:vAlign w:val="center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14" w:type="dxa"/>
            <w:gridSpan w:val="2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4" w:type="dxa"/>
            <w:shd w:val="clear" w:color="auto" w:fill="D9D9D9"/>
            <w:vAlign w:val="center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备注</w:t>
            </w:r>
          </w:p>
        </w:tc>
        <w:tc>
          <w:tcPr>
            <w:tcW w:w="7114" w:type="dxa"/>
            <w:gridSpan w:val="2"/>
          </w:tcPr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不适用</w:t>
            </w:r>
          </w:p>
        </w:tc>
      </w:tr>
    </w:tbl>
    <w:p>
      <w:pPr>
        <w:snapToGrid w:val="0"/>
        <w:spacing w:line="340" w:lineRule="exact"/>
        <w:jc w:val="left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DejaVu Sans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true"/>
  <w:bordersDoNotSurroundFooter w:val="true"/>
  <w:doNotTrackMoves/>
  <w:doNotTrackFormatting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1B0F"/>
    <w:rsid w:val="00016C7E"/>
    <w:rsid w:val="00017396"/>
    <w:rsid w:val="00094095"/>
    <w:rsid w:val="00115FFA"/>
    <w:rsid w:val="001949FF"/>
    <w:rsid w:val="001963D3"/>
    <w:rsid w:val="001A3C12"/>
    <w:rsid w:val="001F64BC"/>
    <w:rsid w:val="002052F5"/>
    <w:rsid w:val="00211879"/>
    <w:rsid w:val="002316AD"/>
    <w:rsid w:val="00233C9D"/>
    <w:rsid w:val="00245776"/>
    <w:rsid w:val="00265FAC"/>
    <w:rsid w:val="00266358"/>
    <w:rsid w:val="00266FF6"/>
    <w:rsid w:val="0029549A"/>
    <w:rsid w:val="002A33F7"/>
    <w:rsid w:val="002A3524"/>
    <w:rsid w:val="002C5330"/>
    <w:rsid w:val="002F1036"/>
    <w:rsid w:val="002F2D60"/>
    <w:rsid w:val="00307976"/>
    <w:rsid w:val="00321B51"/>
    <w:rsid w:val="00326FE5"/>
    <w:rsid w:val="003276D7"/>
    <w:rsid w:val="00346129"/>
    <w:rsid w:val="003718DE"/>
    <w:rsid w:val="00395ECC"/>
    <w:rsid w:val="003A34BC"/>
    <w:rsid w:val="003C3174"/>
    <w:rsid w:val="00427F3C"/>
    <w:rsid w:val="00433B3B"/>
    <w:rsid w:val="00433D4C"/>
    <w:rsid w:val="00457D31"/>
    <w:rsid w:val="00462174"/>
    <w:rsid w:val="00470198"/>
    <w:rsid w:val="00473F8D"/>
    <w:rsid w:val="004901B3"/>
    <w:rsid w:val="00494C5A"/>
    <w:rsid w:val="00496E96"/>
    <w:rsid w:val="004B2497"/>
    <w:rsid w:val="004B3DA4"/>
    <w:rsid w:val="004C6BDB"/>
    <w:rsid w:val="004F388C"/>
    <w:rsid w:val="0052658B"/>
    <w:rsid w:val="0052789E"/>
    <w:rsid w:val="00530966"/>
    <w:rsid w:val="00531111"/>
    <w:rsid w:val="00534BE4"/>
    <w:rsid w:val="00560FFA"/>
    <w:rsid w:val="00561E35"/>
    <w:rsid w:val="005626E5"/>
    <w:rsid w:val="00571C41"/>
    <w:rsid w:val="005A68ED"/>
    <w:rsid w:val="005A7399"/>
    <w:rsid w:val="005C4AA9"/>
    <w:rsid w:val="005D796C"/>
    <w:rsid w:val="005F167B"/>
    <w:rsid w:val="006015FA"/>
    <w:rsid w:val="006041B9"/>
    <w:rsid w:val="0060481D"/>
    <w:rsid w:val="006226F0"/>
    <w:rsid w:val="00625C74"/>
    <w:rsid w:val="00656563"/>
    <w:rsid w:val="00672D89"/>
    <w:rsid w:val="00680435"/>
    <w:rsid w:val="006A5D0E"/>
    <w:rsid w:val="006F0D2A"/>
    <w:rsid w:val="007603AA"/>
    <w:rsid w:val="0076144D"/>
    <w:rsid w:val="00772592"/>
    <w:rsid w:val="00796EEF"/>
    <w:rsid w:val="007B33A9"/>
    <w:rsid w:val="007C7FA4"/>
    <w:rsid w:val="007D4EEF"/>
    <w:rsid w:val="00847C5F"/>
    <w:rsid w:val="00865891"/>
    <w:rsid w:val="00872274"/>
    <w:rsid w:val="00873569"/>
    <w:rsid w:val="00876540"/>
    <w:rsid w:val="0089084D"/>
    <w:rsid w:val="008A3607"/>
    <w:rsid w:val="008B4010"/>
    <w:rsid w:val="008B5E30"/>
    <w:rsid w:val="008C4AF2"/>
    <w:rsid w:val="008D165B"/>
    <w:rsid w:val="008E21A6"/>
    <w:rsid w:val="00902295"/>
    <w:rsid w:val="00902FF1"/>
    <w:rsid w:val="009067B7"/>
    <w:rsid w:val="00915BB8"/>
    <w:rsid w:val="009424FE"/>
    <w:rsid w:val="00942ED1"/>
    <w:rsid w:val="0094340E"/>
    <w:rsid w:val="00946114"/>
    <w:rsid w:val="00953027"/>
    <w:rsid w:val="00967499"/>
    <w:rsid w:val="0099115B"/>
    <w:rsid w:val="009B4985"/>
    <w:rsid w:val="009F1659"/>
    <w:rsid w:val="009F6AA2"/>
    <w:rsid w:val="00A22511"/>
    <w:rsid w:val="00A700D8"/>
    <w:rsid w:val="00A779AD"/>
    <w:rsid w:val="00AB675A"/>
    <w:rsid w:val="00AB6C08"/>
    <w:rsid w:val="00AD1D93"/>
    <w:rsid w:val="00AD6816"/>
    <w:rsid w:val="00AE2C40"/>
    <w:rsid w:val="00AE51FE"/>
    <w:rsid w:val="00AF20BD"/>
    <w:rsid w:val="00AF3F7F"/>
    <w:rsid w:val="00AF59C4"/>
    <w:rsid w:val="00B02AC9"/>
    <w:rsid w:val="00B037A4"/>
    <w:rsid w:val="00B2157B"/>
    <w:rsid w:val="00B240B1"/>
    <w:rsid w:val="00B56BE2"/>
    <w:rsid w:val="00B75D6F"/>
    <w:rsid w:val="00B955F5"/>
    <w:rsid w:val="00B96D43"/>
    <w:rsid w:val="00BA0750"/>
    <w:rsid w:val="00BB1C77"/>
    <w:rsid w:val="00BB2377"/>
    <w:rsid w:val="00BB40E4"/>
    <w:rsid w:val="00BB78DD"/>
    <w:rsid w:val="00C143B2"/>
    <w:rsid w:val="00C559B2"/>
    <w:rsid w:val="00C72EE9"/>
    <w:rsid w:val="00C9068E"/>
    <w:rsid w:val="00C90E71"/>
    <w:rsid w:val="00CC6CAD"/>
    <w:rsid w:val="00CE791B"/>
    <w:rsid w:val="00CF3EED"/>
    <w:rsid w:val="00D21777"/>
    <w:rsid w:val="00D8293A"/>
    <w:rsid w:val="00DA016A"/>
    <w:rsid w:val="00DD5E88"/>
    <w:rsid w:val="00E11775"/>
    <w:rsid w:val="00E219F1"/>
    <w:rsid w:val="00E4567B"/>
    <w:rsid w:val="00E677B7"/>
    <w:rsid w:val="00E7378E"/>
    <w:rsid w:val="00ED0BA9"/>
    <w:rsid w:val="00ED21B1"/>
    <w:rsid w:val="00EE1CC9"/>
    <w:rsid w:val="00EF059D"/>
    <w:rsid w:val="00F40281"/>
    <w:rsid w:val="00F45DD1"/>
    <w:rsid w:val="00F53288"/>
    <w:rsid w:val="00F71656"/>
    <w:rsid w:val="00F87C1F"/>
    <w:rsid w:val="00F944F8"/>
    <w:rsid w:val="00FB4C6B"/>
    <w:rsid w:val="00FC7BE6"/>
    <w:rsid w:val="00FE6B3B"/>
    <w:rsid w:val="A9F3C48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3">
    <w:name w:val="endnote text"/>
    <w:basedOn w:val="1"/>
    <w:link w:val="12"/>
    <w:semiHidden/>
    <w:unhideWhenUsed/>
    <w:qFormat/>
    <w:uiPriority w:val="99"/>
    <w:pPr>
      <w:snapToGrid w:val="0"/>
      <w:jc w:val="left"/>
    </w:pPr>
  </w:style>
  <w:style w:type="paragraph" w:styleId="4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Endnote Text Char"/>
    <w:basedOn w:val="9"/>
    <w:link w:val="3"/>
    <w:semiHidden/>
    <w:qFormat/>
    <w:uiPriority w:val="99"/>
  </w:style>
  <w:style w:type="character" w:customStyle="1" w:styleId="13">
    <w:name w:val="Header Char"/>
    <w:link w:val="6"/>
    <w:qFormat/>
    <w:uiPriority w:val="99"/>
    <w:rPr>
      <w:sz w:val="18"/>
      <w:szCs w:val="18"/>
    </w:rPr>
  </w:style>
  <w:style w:type="character" w:customStyle="1" w:styleId="14">
    <w:name w:val="Footer Char"/>
    <w:link w:val="5"/>
    <w:qFormat/>
    <w:uiPriority w:val="99"/>
    <w:rPr>
      <w:sz w:val="18"/>
      <w:szCs w:val="18"/>
    </w:rPr>
  </w:style>
  <w:style w:type="character" w:customStyle="1" w:styleId="15">
    <w:name w:val="Balloon Text Char"/>
    <w:basedOn w:val="9"/>
    <w:link w:val="4"/>
    <w:semiHidden/>
    <w:qFormat/>
    <w:uiPriority w:val="99"/>
    <w:rPr>
      <w:kern w:val="2"/>
      <w:sz w:val="18"/>
      <w:szCs w:val="18"/>
      <w:lang w:val="en-US" w:bidi="ar-SA"/>
    </w:rPr>
  </w:style>
  <w:style w:type="character" w:customStyle="1" w:styleId="16">
    <w:name w:val="Unresolved Mention1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151</Words>
  <Characters>780</Characters>
  <Lines>20</Lines>
  <Paragraphs>5</Paragraphs>
  <TotalTime>0</TotalTime>
  <ScaleCrop>false</ScaleCrop>
  <LinksUpToDate>false</LinksUpToDate>
  <CharactersWithSpaces>926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2024-02-04T18:09:00Z</dcterms:created>
  <dcterms:modified xsi:type="dcterms:W3CDTF">2024-03-07T15:15:32Z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2e67a54-274b-43d7-8098-b3ba5f50e576_Enabled">
    <vt:lpwstr>true</vt:lpwstr>
  </property>
  <property fmtid="{D5CDD505-2E9C-101B-9397-08002B2CF9AE}" pid="3" name="MSIP_Label_42e67a54-274b-43d7-8098-b3ba5f50e576_SetDate">
    <vt:lpwstr>2022-03-11T08:05:12Z</vt:lpwstr>
  </property>
  <property fmtid="{D5CDD505-2E9C-101B-9397-08002B2CF9AE}" pid="4" name="MSIP_Label_42e67a54-274b-43d7-8098-b3ba5f50e576_Method">
    <vt:lpwstr>Standard</vt:lpwstr>
  </property>
  <property fmtid="{D5CDD505-2E9C-101B-9397-08002B2CF9AE}" pid="5" name="MSIP_Label_42e67a54-274b-43d7-8098-b3ba5f50e576_Name">
    <vt:lpwstr>42e67a54-274b-43d7-8098-b3ba5f50e576</vt:lpwstr>
  </property>
  <property fmtid="{D5CDD505-2E9C-101B-9397-08002B2CF9AE}" pid="6" name="MSIP_Label_42e67a54-274b-43d7-8098-b3ba5f50e576_SiteId">
    <vt:lpwstr>7f0b44d2-04f8-4672-bf5d-4676796468a3</vt:lpwstr>
  </property>
  <property fmtid="{D5CDD505-2E9C-101B-9397-08002B2CF9AE}" pid="7" name="MSIP_Label_42e67a54-274b-43d7-8098-b3ba5f50e576_ActionId">
    <vt:lpwstr>816a926a-389b-4f19-9a56-77d2cef35f5b</vt:lpwstr>
  </property>
  <property fmtid="{D5CDD505-2E9C-101B-9397-08002B2CF9AE}" pid="8" name="MSIP_Label_42e67a54-274b-43d7-8098-b3ba5f50e576_ContentBits">
    <vt:lpwstr>0</vt:lpwstr>
  </property>
  <property fmtid="{D5CDD505-2E9C-101B-9397-08002B2CF9AE}" pid="9" name="Client Code">
    <vt:lpwstr>10290463</vt:lpwstr>
  </property>
  <property fmtid="{D5CDD505-2E9C-101B-9397-08002B2CF9AE}" pid="10" name="Matter Number">
    <vt:lpwstr>L-308964</vt:lpwstr>
  </property>
  <property fmtid="{D5CDD505-2E9C-101B-9397-08002B2CF9AE}" pid="11" name="DEDocumentLocation">
    <vt:lpwstr>C:\Users\hwzhang\AppData\Local\Linklaters\DocExplorer\Attachments\A47929728 v0.3 220517_Project Maxwell_Public Announcement Form (CHN).docx</vt:lpwstr>
  </property>
  <property fmtid="{D5CDD505-2E9C-101B-9397-08002B2CF9AE}" pid="12" name="Document Number">
    <vt:lpwstr>A47929728</vt:lpwstr>
  </property>
  <property fmtid="{D5CDD505-2E9C-101B-9397-08002B2CF9AE}" pid="13" name="Last Modified">
    <vt:lpwstr>17 May 2022</vt:lpwstr>
  </property>
  <property fmtid="{D5CDD505-2E9C-101B-9397-08002B2CF9AE}" pid="14" name="Mode">
    <vt:lpwstr>SendAs</vt:lpwstr>
  </property>
  <property fmtid="{D5CDD505-2E9C-101B-9397-08002B2CF9AE}" pid="15" name="Version">
    <vt:lpwstr>0.3</vt:lpwstr>
  </property>
  <property fmtid="{D5CDD505-2E9C-101B-9397-08002B2CF9AE}" pid="16" name="ObjectID">
    <vt:lpwstr>09001dc89744d5f8</vt:lpwstr>
  </property>
  <property fmtid="{D5CDD505-2E9C-101B-9397-08002B2CF9AE}" pid="17" name="_MarkAsFinal">
    <vt:bool>false</vt:bool>
  </property>
  <property fmtid="{D5CDD505-2E9C-101B-9397-08002B2CF9AE}" pid="18" name="Client">
    <vt:lpwstr>0124574</vt:lpwstr>
  </property>
  <property fmtid="{D5CDD505-2E9C-101B-9397-08002B2CF9AE}" pid="19" name="Matter">
    <vt:lpwstr>0000007</vt:lpwstr>
  </property>
  <property fmtid="{D5CDD505-2E9C-101B-9397-08002B2CF9AE}" pid="20" name="cpDocRef">
    <vt:lpwstr>UKO3: 2005842950.1</vt:lpwstr>
  </property>
  <property fmtid="{D5CDD505-2E9C-101B-9397-08002B2CF9AE}" pid="21" name="cpClientMatter">
    <vt:lpwstr>0124574-0000007</vt:lpwstr>
  </property>
  <property fmtid="{D5CDD505-2E9C-101B-9397-08002B2CF9AE}" pid="22" name="cpCombinedRef">
    <vt:lpwstr>0124574-0000007 UKO3: 2005842950.1</vt:lpwstr>
  </property>
  <property fmtid="{D5CDD505-2E9C-101B-9397-08002B2CF9AE}" pid="23" name="KSOProductBuildVer">
    <vt:lpwstr>2052-11.8.2.10125</vt:lpwstr>
  </property>
</Properties>
</file>