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黑体" w:hAnsi="黑体" w:eastAsia="黑体" w:cs="黑体"/>
          <w:bCs/>
          <w:sz w:val="36"/>
          <w:szCs w:val="36"/>
        </w:rPr>
      </w:pPr>
      <w:r>
        <w:rPr>
          <w:rFonts w:hint="eastAsia" w:ascii="黑体" w:hAnsi="黑体" w:eastAsia="黑体" w:cs="黑体"/>
          <w:bCs/>
          <w:sz w:val="36"/>
          <w:szCs w:val="36"/>
          <w:lang w:val="en-US" w:eastAsia="zh-CN"/>
        </w:rPr>
        <w:t xml:space="preserve"> </w:t>
      </w:r>
      <w:r>
        <w:rPr>
          <w:rFonts w:hint="eastAsia" w:ascii="黑体" w:hAnsi="黑体" w:eastAsia="黑体" w:cs="黑体"/>
          <w:bCs/>
          <w:sz w:val="36"/>
          <w:szCs w:val="36"/>
        </w:rPr>
        <w:t>经营者集中简易案件公示表</w:t>
      </w:r>
    </w:p>
    <w:tbl>
      <w:tblPr>
        <w:tblStyle w:val="4"/>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26" w:hRule="atLeast"/>
        </w:trPr>
        <w:tc>
          <w:tcPr>
            <w:tcW w:w="1940" w:type="dxa"/>
            <w:shd w:val="clear" w:color="auto" w:fill="D9D9D9"/>
            <w:vAlign w:val="center"/>
          </w:tcPr>
          <w:p>
            <w:pPr>
              <w:pStyle w:val="3"/>
              <w:adjustRightInd w:val="0"/>
              <w:snapToGrid w:val="0"/>
              <w:spacing w:after="0"/>
              <w:rPr>
                <w:rFonts w:ascii="宋体" w:hAnsi="宋体" w:cs="宋体"/>
                <w:bCs/>
                <w:color w:val="000000"/>
                <w:sz w:val="21"/>
                <w:szCs w:val="21"/>
                <w:lang w:val="en-US"/>
              </w:rPr>
            </w:pPr>
            <w:r>
              <w:rPr>
                <w:rFonts w:hint="eastAsia" w:ascii="宋体" w:hAnsi="宋体" w:cs="宋体"/>
                <w:bCs/>
                <w:color w:val="000000"/>
                <w:sz w:val="21"/>
                <w:szCs w:val="21"/>
              </w:rPr>
              <w:t>案件名称</w:t>
            </w:r>
          </w:p>
        </w:tc>
        <w:tc>
          <w:tcPr>
            <w:tcW w:w="7700" w:type="dxa"/>
            <w:gridSpan w:val="2"/>
            <w:vAlign w:val="center"/>
          </w:tcPr>
          <w:p>
            <w:pPr>
              <w:adjustRightInd w:val="0"/>
              <w:snapToGrid w:val="0"/>
              <w:spacing w:after="0"/>
              <w:rPr>
                <w:rFonts w:ascii="宋体" w:hAnsi="宋体" w:cs="宋体"/>
                <w:bCs/>
                <w:color w:val="000000"/>
                <w:sz w:val="21"/>
                <w:szCs w:val="21"/>
                <w:lang w:val="en-US"/>
              </w:rPr>
            </w:pPr>
            <w:r>
              <w:rPr>
                <w:rFonts w:hint="eastAsia" w:ascii="宋体" w:hAnsi="宋体" w:cs="宋体"/>
                <w:bCs/>
                <w:color w:val="000000"/>
                <w:sz w:val="21"/>
                <w:szCs w:val="21"/>
                <w:lang w:val="en-US"/>
              </w:rPr>
              <w:t>招银国际资本管理（深圳）有限公司和浙能股权投资基金管理有限公司等经营者新设合营企业案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91" w:hRule="atLeast"/>
        </w:trPr>
        <w:tc>
          <w:tcPr>
            <w:tcW w:w="1940" w:type="dxa"/>
            <w:shd w:val="clear" w:color="auto" w:fill="D9D9D9"/>
            <w:vAlign w:val="center"/>
          </w:tcPr>
          <w:p>
            <w:pPr>
              <w:pStyle w:val="3"/>
              <w:adjustRightInd w:val="0"/>
              <w:snapToGrid w:val="0"/>
              <w:spacing w:after="0"/>
              <w:rPr>
                <w:rFonts w:ascii="宋体" w:hAnsi="宋体" w:cs="宋体"/>
                <w:bCs/>
                <w:color w:val="000000"/>
                <w:sz w:val="21"/>
                <w:szCs w:val="21"/>
                <w:lang w:val="en-US" w:eastAsia="zh-CN"/>
              </w:rPr>
            </w:pPr>
            <w:r>
              <w:rPr>
                <w:rFonts w:hint="eastAsia" w:ascii="宋体" w:hAnsi="宋体" w:cs="宋体"/>
                <w:bCs/>
                <w:color w:val="000000"/>
                <w:sz w:val="21"/>
                <w:szCs w:val="21"/>
                <w:lang w:eastAsia="zh-CN"/>
              </w:rPr>
              <w:t>交易概况（限200字内）</w:t>
            </w:r>
          </w:p>
        </w:tc>
        <w:tc>
          <w:tcPr>
            <w:tcW w:w="7700" w:type="dxa"/>
            <w:gridSpan w:val="2"/>
            <w:vAlign w:val="center"/>
          </w:tcPr>
          <w:p>
            <w:pPr>
              <w:widowControl w:val="0"/>
              <w:adjustRightInd w:val="0"/>
              <w:snapToGrid w:val="0"/>
              <w:spacing w:after="0"/>
              <w:rPr>
                <w:rFonts w:ascii="宋体" w:hAnsi="宋体" w:cs="宋体"/>
                <w:sz w:val="21"/>
                <w:szCs w:val="21"/>
                <w:lang w:val="en-US"/>
              </w:rPr>
            </w:pPr>
            <w:r>
              <w:rPr>
                <w:rFonts w:hint="eastAsia" w:ascii="宋体" w:hAnsi="宋体" w:cs="宋体"/>
                <w:bCs/>
                <w:color w:val="000000"/>
                <w:sz w:val="21"/>
                <w:szCs w:val="21"/>
                <w:lang w:val="en-US"/>
              </w:rPr>
              <w:t>招银国际资本管理（深圳）有限公司</w:t>
            </w:r>
            <w:r>
              <w:rPr>
                <w:rFonts w:hint="eastAsia" w:ascii="宋体" w:hAnsi="宋体" w:cs="宋体"/>
                <w:sz w:val="21"/>
                <w:szCs w:val="21"/>
              </w:rPr>
              <w:t>（“招银资本”）、</w:t>
            </w:r>
            <w:r>
              <w:rPr>
                <w:rFonts w:hint="eastAsia" w:ascii="宋体" w:hAnsi="宋体" w:cs="宋体"/>
                <w:bCs/>
                <w:color w:val="000000"/>
                <w:sz w:val="21"/>
                <w:szCs w:val="21"/>
                <w:lang w:val="en-US"/>
              </w:rPr>
              <w:t>浙能股权投资基金管理有限公司</w:t>
            </w:r>
            <w:r>
              <w:rPr>
                <w:rFonts w:hint="eastAsia" w:ascii="宋体" w:hAnsi="宋体" w:cs="宋体"/>
                <w:sz w:val="21"/>
                <w:szCs w:val="21"/>
              </w:rPr>
              <w:t>（“浙能基金”）、浙江省产业基金有限公司（“浙江省产业基金”）等签署《合伙协议》，拟共同设立合营企业，从事中国境内私募股权投资基金管理业务。交易后，招银资本、浙能基金和浙江省产业基金</w:t>
            </w:r>
            <w:r>
              <w:rPr>
                <w:rFonts w:hint="eastAsia" w:ascii="宋体" w:hAnsi="宋体" w:cs="宋体"/>
                <w:sz w:val="21"/>
                <w:szCs w:val="21"/>
                <w:lang w:eastAsia="zh-CN"/>
              </w:rPr>
              <w:t>分别持有合营企业</w:t>
            </w:r>
            <w:r>
              <w:rPr>
                <w:rFonts w:hint="eastAsia" w:ascii="宋体" w:hAnsi="宋体" w:cs="宋体"/>
                <w:sz w:val="21"/>
                <w:szCs w:val="21"/>
                <w:lang w:val="en-US" w:eastAsia="zh-CN"/>
              </w:rPr>
              <w:t>1%、0.125%和27.5%股权</w:t>
            </w:r>
            <w:r>
              <w:rPr>
                <w:rFonts w:hint="eastAsia" w:ascii="宋体" w:hAnsi="宋体" w:cs="宋体"/>
                <w:sz w:val="21"/>
                <w:szCs w:val="21"/>
                <w:lang w:eastAsia="zh-CN"/>
              </w:rPr>
              <w:t>，</w:t>
            </w:r>
            <w:r>
              <w:rPr>
                <w:rFonts w:hint="eastAsia" w:ascii="宋体" w:hAnsi="宋体" w:cs="宋体"/>
                <w:sz w:val="21"/>
                <w:szCs w:val="21"/>
              </w:rPr>
              <w:t>共同控制合营企业</w:t>
            </w:r>
            <w:r>
              <w:rPr>
                <w:rFonts w:hint="eastAsia" w:ascii="宋体" w:hAnsi="宋体" w:cs="宋体"/>
                <w:sz w:val="21"/>
                <w:szCs w:val="21"/>
                <w:lang w:val="en-U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42" w:hRule="atLeast"/>
        </w:trPr>
        <w:tc>
          <w:tcPr>
            <w:tcW w:w="1940" w:type="dxa"/>
            <w:vMerge w:val="restart"/>
            <w:shd w:val="clear" w:color="auto" w:fill="D9D9D9"/>
            <w:vAlign w:val="center"/>
          </w:tcPr>
          <w:p>
            <w:pPr>
              <w:pStyle w:val="3"/>
              <w:adjustRightInd w:val="0"/>
              <w:snapToGrid w:val="0"/>
              <w:spacing w:after="0"/>
              <w:rPr>
                <w:rFonts w:ascii="宋体" w:hAnsi="宋体" w:cs="宋体"/>
                <w:bCs/>
                <w:color w:val="000000"/>
                <w:sz w:val="21"/>
                <w:szCs w:val="21"/>
                <w:lang w:val="en-US" w:eastAsia="zh-CN"/>
              </w:rPr>
            </w:pPr>
            <w:r>
              <w:rPr>
                <w:rFonts w:hint="eastAsia" w:ascii="宋体" w:hAnsi="宋体" w:cs="宋体"/>
                <w:bCs/>
                <w:color w:val="000000"/>
                <w:sz w:val="21"/>
                <w:szCs w:val="21"/>
                <w:lang w:eastAsia="zh-CN"/>
              </w:rPr>
              <w:t>参与集中的经营者简介（每个限</w:t>
            </w:r>
            <w:r>
              <w:rPr>
                <w:rFonts w:hint="eastAsia" w:ascii="宋体" w:hAnsi="宋体" w:cs="宋体"/>
                <w:bCs/>
                <w:color w:val="000000"/>
                <w:sz w:val="21"/>
                <w:szCs w:val="21"/>
                <w:lang w:val="en-US" w:eastAsia="zh-CN"/>
              </w:rPr>
              <w:t>100字以内</w:t>
            </w:r>
            <w:r>
              <w:rPr>
                <w:rFonts w:hint="eastAsia" w:ascii="宋体" w:hAnsi="宋体" w:cs="宋体"/>
                <w:bCs/>
                <w:color w:val="000000"/>
                <w:sz w:val="21"/>
                <w:szCs w:val="21"/>
                <w:lang w:eastAsia="zh-CN"/>
              </w:rPr>
              <w:t>）</w:t>
            </w:r>
          </w:p>
        </w:tc>
        <w:tc>
          <w:tcPr>
            <w:tcW w:w="1607" w:type="dxa"/>
            <w:vAlign w:val="center"/>
          </w:tcPr>
          <w:p>
            <w:pPr>
              <w:pStyle w:val="3"/>
              <w:adjustRightInd w:val="0"/>
              <w:snapToGrid w:val="0"/>
              <w:spacing w:after="0"/>
              <w:rPr>
                <w:rFonts w:ascii="宋体" w:hAnsi="宋体" w:cs="宋体"/>
                <w:bCs/>
                <w:color w:val="000000"/>
                <w:sz w:val="21"/>
                <w:szCs w:val="21"/>
                <w:lang w:eastAsia="zh-CN"/>
              </w:rPr>
            </w:pPr>
            <w:r>
              <w:rPr>
                <w:rFonts w:hint="eastAsia" w:ascii="宋体" w:hAnsi="宋体" w:cs="宋体"/>
                <w:bCs/>
                <w:color w:val="000000"/>
                <w:sz w:val="21"/>
                <w:szCs w:val="21"/>
                <w:lang w:val="en-US" w:eastAsia="zh-CN"/>
              </w:rPr>
              <w:t>1.招银资本</w:t>
            </w:r>
          </w:p>
        </w:tc>
        <w:tc>
          <w:tcPr>
            <w:tcW w:w="6093" w:type="dxa"/>
            <w:vAlign w:val="center"/>
          </w:tcPr>
          <w:p>
            <w:pPr>
              <w:widowControl w:val="0"/>
              <w:adjustRightInd w:val="0"/>
              <w:snapToGrid w:val="0"/>
              <w:spacing w:after="0"/>
              <w:rPr>
                <w:rFonts w:hint="eastAsia" w:ascii="宋体" w:hAnsi="宋体" w:cs="宋体"/>
                <w:sz w:val="21"/>
                <w:szCs w:val="21"/>
              </w:rPr>
            </w:pPr>
            <w:r>
              <w:rPr>
                <w:rFonts w:hint="eastAsia" w:ascii="宋体" w:hAnsi="宋体" w:cs="宋体"/>
                <w:bCs/>
                <w:color w:val="000000"/>
                <w:sz w:val="21"/>
                <w:szCs w:val="21"/>
                <w:lang w:val="en-US"/>
              </w:rPr>
              <w:t>招银资本</w:t>
            </w:r>
            <w:r>
              <w:rPr>
                <w:rFonts w:hint="eastAsia" w:ascii="宋体" w:hAnsi="宋体" w:cs="宋体"/>
                <w:sz w:val="21"/>
                <w:szCs w:val="21"/>
                <w:lang w:val="en-US"/>
              </w:rPr>
              <w:t>于2</w:t>
            </w:r>
            <w:r>
              <w:rPr>
                <w:rFonts w:ascii="宋体" w:hAnsi="宋体" w:cs="宋体"/>
                <w:sz w:val="21"/>
                <w:szCs w:val="21"/>
                <w:lang w:val="en-US"/>
              </w:rPr>
              <w:t>014</w:t>
            </w:r>
            <w:r>
              <w:rPr>
                <w:rFonts w:hint="eastAsia" w:ascii="宋体" w:hAnsi="宋体" w:cs="宋体"/>
                <w:sz w:val="21"/>
                <w:szCs w:val="21"/>
                <w:lang w:val="en-US"/>
              </w:rPr>
              <w:t>年</w:t>
            </w:r>
            <w:r>
              <w:rPr>
                <w:rFonts w:ascii="宋体" w:hAnsi="宋体" w:cs="宋体"/>
                <w:sz w:val="21"/>
                <w:szCs w:val="21"/>
                <w:lang w:val="en-US"/>
              </w:rPr>
              <w:t>3</w:t>
            </w:r>
            <w:r>
              <w:rPr>
                <w:rFonts w:hint="eastAsia" w:ascii="宋体" w:hAnsi="宋体" w:cs="宋体"/>
                <w:sz w:val="21"/>
                <w:szCs w:val="21"/>
                <w:lang w:val="en-US"/>
              </w:rPr>
              <w:t>月</w:t>
            </w:r>
            <w:r>
              <w:rPr>
                <w:rFonts w:ascii="宋体" w:hAnsi="宋体" w:cs="宋体"/>
                <w:sz w:val="21"/>
                <w:szCs w:val="21"/>
                <w:lang w:val="en-US"/>
              </w:rPr>
              <w:t>26</w:t>
            </w:r>
            <w:r>
              <w:rPr>
                <w:rFonts w:hint="eastAsia" w:ascii="宋体" w:hAnsi="宋体" w:cs="宋体"/>
                <w:sz w:val="21"/>
                <w:szCs w:val="21"/>
                <w:lang w:val="en-US"/>
              </w:rPr>
              <w:t>日成立于广东省深圳市，主要业务为</w:t>
            </w:r>
            <w:r>
              <w:rPr>
                <w:rFonts w:hint="eastAsia" w:ascii="宋体" w:hAnsi="宋体" w:cs="宋体"/>
                <w:sz w:val="21"/>
                <w:szCs w:val="21"/>
              </w:rPr>
              <w:t>受托资产管理、受托管理股权投资基金、投资管理、投资咨询、投资顾问、企业管理咨询等。</w:t>
            </w:r>
          </w:p>
          <w:p>
            <w:pPr>
              <w:widowControl w:val="0"/>
              <w:adjustRightInd w:val="0"/>
              <w:snapToGrid w:val="0"/>
              <w:spacing w:after="0"/>
              <w:rPr>
                <w:rFonts w:ascii="宋体" w:hAnsi="宋体" w:cs="宋体"/>
                <w:sz w:val="21"/>
                <w:szCs w:val="21"/>
                <w:lang w:val="en-US"/>
              </w:rPr>
            </w:pPr>
            <w:r>
              <w:rPr>
                <w:rFonts w:hint="eastAsia" w:ascii="宋体" w:hAnsi="宋体" w:cs="宋体"/>
                <w:sz w:val="21"/>
                <w:szCs w:val="21"/>
              </w:rPr>
              <w:t>招银资本的最终控制人为招商银行股份有限公司，主要向客户提供批发及零售银行产品和服务，以及自营及代客进行资金业务。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42" w:hRule="atLeast"/>
        </w:trPr>
        <w:tc>
          <w:tcPr>
            <w:tcW w:w="1940" w:type="dxa"/>
            <w:vMerge w:val="continue"/>
            <w:shd w:val="clear" w:color="auto" w:fill="D9D9D9"/>
            <w:vAlign w:val="center"/>
          </w:tcPr>
          <w:p>
            <w:pPr>
              <w:pStyle w:val="3"/>
              <w:adjustRightInd w:val="0"/>
              <w:snapToGrid w:val="0"/>
              <w:spacing w:after="0"/>
              <w:rPr>
                <w:rFonts w:ascii="宋体" w:hAnsi="宋体" w:cs="宋体"/>
                <w:bCs/>
                <w:color w:val="000000"/>
                <w:sz w:val="21"/>
                <w:szCs w:val="21"/>
                <w:lang w:eastAsia="zh-CN"/>
              </w:rPr>
            </w:pPr>
          </w:p>
        </w:tc>
        <w:tc>
          <w:tcPr>
            <w:tcW w:w="1607" w:type="dxa"/>
            <w:vAlign w:val="center"/>
          </w:tcPr>
          <w:p>
            <w:pPr>
              <w:pStyle w:val="3"/>
              <w:adjustRightInd w:val="0"/>
              <w:snapToGrid w:val="0"/>
              <w:spacing w:after="0"/>
              <w:rPr>
                <w:rFonts w:ascii="宋体" w:hAnsi="宋体" w:cs="宋体"/>
                <w:bCs/>
                <w:color w:val="000000"/>
                <w:sz w:val="21"/>
                <w:szCs w:val="21"/>
                <w:lang w:val="en-US" w:eastAsia="zh-CN"/>
              </w:rPr>
            </w:pPr>
            <w:r>
              <w:rPr>
                <w:rFonts w:hint="eastAsia" w:ascii="宋体" w:hAnsi="宋体" w:cs="宋体"/>
                <w:bCs/>
                <w:color w:val="000000"/>
                <w:sz w:val="21"/>
                <w:szCs w:val="21"/>
                <w:lang w:val="en-US" w:eastAsia="zh-CN"/>
              </w:rPr>
              <w:t>2</w:t>
            </w:r>
            <w:r>
              <w:rPr>
                <w:rFonts w:ascii="宋体" w:hAnsi="宋体" w:cs="宋体"/>
                <w:bCs/>
                <w:color w:val="000000"/>
                <w:sz w:val="21"/>
                <w:szCs w:val="21"/>
                <w:lang w:val="en-US" w:eastAsia="zh-CN"/>
              </w:rPr>
              <w:t>.</w:t>
            </w:r>
            <w:r>
              <w:rPr>
                <w:rFonts w:hint="eastAsia" w:ascii="宋体" w:hAnsi="宋体" w:cs="宋体"/>
                <w:bCs/>
                <w:color w:val="000000"/>
                <w:sz w:val="21"/>
                <w:szCs w:val="21"/>
                <w:lang w:val="en-US" w:eastAsia="zh-CN"/>
              </w:rPr>
              <w:t>浙能基金</w:t>
            </w:r>
          </w:p>
        </w:tc>
        <w:tc>
          <w:tcPr>
            <w:tcW w:w="6093" w:type="dxa"/>
            <w:vAlign w:val="center"/>
          </w:tcPr>
          <w:p>
            <w:pPr>
              <w:widowControl w:val="0"/>
              <w:adjustRightInd w:val="0"/>
              <w:snapToGrid w:val="0"/>
              <w:spacing w:after="0"/>
              <w:rPr>
                <w:rFonts w:ascii="宋体" w:hAnsi="宋体" w:cs="宋体"/>
                <w:bCs/>
                <w:color w:val="000000"/>
                <w:sz w:val="21"/>
                <w:szCs w:val="21"/>
                <w:lang w:val="en-US"/>
              </w:rPr>
            </w:pPr>
            <w:r>
              <w:rPr>
                <w:rFonts w:hint="eastAsia" w:ascii="宋体" w:hAnsi="宋体" w:cs="宋体"/>
                <w:bCs/>
                <w:color w:val="000000"/>
                <w:sz w:val="21"/>
                <w:szCs w:val="21"/>
                <w:lang w:val="en-US"/>
              </w:rPr>
              <w:t>浙能基金于2</w:t>
            </w:r>
            <w:r>
              <w:rPr>
                <w:rFonts w:ascii="宋体" w:hAnsi="宋体" w:cs="宋体"/>
                <w:bCs/>
                <w:color w:val="000000"/>
                <w:sz w:val="21"/>
                <w:szCs w:val="21"/>
                <w:lang w:val="en-US"/>
              </w:rPr>
              <w:t>017</w:t>
            </w:r>
            <w:r>
              <w:rPr>
                <w:rFonts w:hint="eastAsia" w:ascii="宋体" w:hAnsi="宋体" w:cs="宋体"/>
                <w:bCs/>
                <w:color w:val="000000"/>
                <w:sz w:val="21"/>
                <w:szCs w:val="21"/>
                <w:lang w:val="en-US"/>
              </w:rPr>
              <w:t>年</w:t>
            </w:r>
            <w:r>
              <w:rPr>
                <w:rFonts w:ascii="宋体" w:hAnsi="宋体" w:cs="宋体"/>
                <w:bCs/>
                <w:color w:val="000000"/>
                <w:sz w:val="21"/>
                <w:szCs w:val="21"/>
                <w:lang w:val="en-US"/>
              </w:rPr>
              <w:t>6</w:t>
            </w:r>
            <w:r>
              <w:rPr>
                <w:rFonts w:hint="eastAsia" w:ascii="宋体" w:hAnsi="宋体" w:cs="宋体"/>
                <w:bCs/>
                <w:color w:val="000000"/>
                <w:sz w:val="21"/>
                <w:szCs w:val="21"/>
                <w:lang w:val="en-US"/>
              </w:rPr>
              <w:t>月</w:t>
            </w:r>
            <w:r>
              <w:rPr>
                <w:rFonts w:ascii="宋体" w:hAnsi="宋体" w:cs="宋体"/>
                <w:bCs/>
                <w:color w:val="000000"/>
                <w:sz w:val="21"/>
                <w:szCs w:val="21"/>
                <w:lang w:val="en-US"/>
              </w:rPr>
              <w:t>7</w:t>
            </w:r>
            <w:r>
              <w:rPr>
                <w:rFonts w:hint="eastAsia" w:ascii="宋体" w:hAnsi="宋体" w:cs="宋体"/>
                <w:bCs/>
                <w:color w:val="000000"/>
                <w:sz w:val="21"/>
                <w:szCs w:val="21"/>
                <w:lang w:val="en-US"/>
              </w:rPr>
              <w:t>日成立于浙江省杭州市，主要从事私募股权投资业务</w:t>
            </w:r>
            <w:r>
              <w:rPr>
                <w:rFonts w:ascii="宋体" w:hAnsi="宋体" w:cs="宋体"/>
                <w:bCs/>
                <w:iCs/>
                <w:color w:val="000000"/>
                <w:sz w:val="21"/>
                <w:szCs w:val="21"/>
                <w:lang w:val="en-US"/>
              </w:rPr>
              <w:t>。</w:t>
            </w:r>
          </w:p>
          <w:p>
            <w:pPr>
              <w:widowControl w:val="0"/>
              <w:adjustRightInd w:val="0"/>
              <w:snapToGrid w:val="0"/>
              <w:spacing w:after="0"/>
              <w:rPr>
                <w:rFonts w:ascii="宋体" w:hAnsi="宋体" w:cs="宋体"/>
                <w:bCs/>
                <w:color w:val="000000"/>
                <w:sz w:val="21"/>
                <w:szCs w:val="21"/>
                <w:lang w:val="en-US"/>
              </w:rPr>
            </w:pPr>
            <w:r>
              <w:rPr>
                <w:rFonts w:hint="eastAsia" w:ascii="宋体" w:hAnsi="宋体" w:cs="宋体"/>
                <w:bCs/>
                <w:color w:val="000000"/>
                <w:sz w:val="21"/>
                <w:szCs w:val="21"/>
                <w:lang w:val="en-US"/>
              </w:rPr>
              <w:t>浙能基金的最终控制人为</w:t>
            </w:r>
            <w:r>
              <w:rPr>
                <w:rFonts w:hint="eastAsia" w:ascii="宋体" w:hAnsi="宋体" w:cs="宋体"/>
                <w:iCs/>
                <w:sz w:val="21"/>
                <w:szCs w:val="21"/>
              </w:rPr>
              <w:t>浙江省能源集团有限公司</w:t>
            </w:r>
            <w:r>
              <w:rPr>
                <w:rFonts w:hint="eastAsia" w:ascii="宋体" w:hAnsi="宋体" w:cs="宋体"/>
                <w:bCs/>
                <w:color w:val="000000"/>
                <w:sz w:val="21"/>
                <w:szCs w:val="21"/>
                <w:lang w:val="en-US"/>
              </w:rPr>
              <w:t>，主要从事电源建设、电力热力生产、石油煤炭天然气开发贸易流通、能源科技、能源服务和能源金融等业务</w:t>
            </w:r>
            <w:r>
              <w:rPr>
                <w:rFonts w:ascii="宋体" w:hAnsi="宋体" w:cs="宋体"/>
                <w:bCs/>
                <w:iCs/>
                <w:color w:val="000000"/>
                <w:sz w:val="21"/>
                <w:szCs w:val="21"/>
                <w:lang w:val="en-U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84" w:hRule="atLeast"/>
        </w:trPr>
        <w:tc>
          <w:tcPr>
            <w:tcW w:w="1940" w:type="dxa"/>
            <w:vMerge w:val="continue"/>
            <w:shd w:val="clear" w:color="auto" w:fill="D9D9D9"/>
            <w:vAlign w:val="center"/>
          </w:tcPr>
          <w:p>
            <w:pPr>
              <w:pStyle w:val="3"/>
              <w:adjustRightInd w:val="0"/>
              <w:snapToGrid w:val="0"/>
              <w:spacing w:after="0"/>
              <w:rPr>
                <w:rFonts w:ascii="宋体" w:hAnsi="宋体" w:cs="宋体"/>
                <w:bCs/>
                <w:color w:val="000000"/>
                <w:sz w:val="21"/>
                <w:szCs w:val="21"/>
                <w:lang w:val="en-US" w:eastAsia="zh-CN"/>
              </w:rPr>
            </w:pPr>
          </w:p>
        </w:tc>
        <w:tc>
          <w:tcPr>
            <w:tcW w:w="1607" w:type="dxa"/>
            <w:vAlign w:val="center"/>
          </w:tcPr>
          <w:p>
            <w:pPr>
              <w:pStyle w:val="3"/>
              <w:adjustRightInd w:val="0"/>
              <w:snapToGrid w:val="0"/>
              <w:spacing w:after="0"/>
              <w:rPr>
                <w:rFonts w:ascii="宋体" w:hAnsi="宋体" w:cs="宋体"/>
                <w:bCs/>
                <w:color w:val="000000"/>
                <w:sz w:val="21"/>
                <w:szCs w:val="21"/>
                <w:lang w:val="en-US" w:eastAsia="zh-CN"/>
              </w:rPr>
            </w:pPr>
            <w:r>
              <w:rPr>
                <w:rFonts w:ascii="宋体" w:hAnsi="宋体" w:cs="宋体"/>
                <w:bCs/>
                <w:color w:val="000000"/>
                <w:sz w:val="21"/>
                <w:szCs w:val="21"/>
                <w:lang w:val="en-US" w:eastAsia="zh-CN"/>
              </w:rPr>
              <w:t>3</w:t>
            </w:r>
            <w:r>
              <w:rPr>
                <w:rFonts w:hint="eastAsia" w:ascii="宋体" w:hAnsi="宋体" w:cs="宋体"/>
                <w:bCs/>
                <w:color w:val="000000"/>
                <w:sz w:val="21"/>
                <w:szCs w:val="21"/>
                <w:lang w:val="en-US" w:eastAsia="zh-CN"/>
              </w:rPr>
              <w:t>.浙江省产业基金</w:t>
            </w:r>
          </w:p>
        </w:tc>
        <w:tc>
          <w:tcPr>
            <w:tcW w:w="6093" w:type="dxa"/>
            <w:vAlign w:val="center"/>
          </w:tcPr>
          <w:p>
            <w:pPr>
              <w:widowControl w:val="0"/>
              <w:adjustRightInd w:val="0"/>
              <w:snapToGrid w:val="0"/>
              <w:spacing w:after="0"/>
              <w:rPr>
                <w:rFonts w:hint="eastAsia" w:ascii="宋体" w:hAnsi="宋体" w:cs="宋体"/>
                <w:bCs/>
                <w:iCs/>
                <w:sz w:val="21"/>
                <w:szCs w:val="21"/>
                <w:lang w:val="en-US"/>
              </w:rPr>
            </w:pPr>
            <w:r>
              <w:rPr>
                <w:rFonts w:hint="eastAsia" w:ascii="宋体" w:hAnsi="宋体" w:cs="宋体"/>
                <w:bCs/>
                <w:color w:val="000000"/>
                <w:sz w:val="21"/>
                <w:szCs w:val="21"/>
                <w:lang w:val="en-US"/>
              </w:rPr>
              <w:t>浙江省产业基金</w:t>
            </w:r>
            <w:r>
              <w:rPr>
                <w:rFonts w:hint="eastAsia" w:ascii="宋体" w:hAnsi="宋体" w:cs="宋体"/>
                <w:sz w:val="21"/>
                <w:szCs w:val="21"/>
              </w:rPr>
              <w:t>于2015年5月29日成立于浙江省杭州市，主要从事股权投资业务</w:t>
            </w:r>
            <w:r>
              <w:rPr>
                <w:rFonts w:hint="eastAsia" w:ascii="宋体" w:hAnsi="宋体" w:cs="宋体"/>
                <w:bCs/>
                <w:iCs/>
                <w:sz w:val="21"/>
                <w:szCs w:val="21"/>
                <w:lang w:val="en-US"/>
              </w:rPr>
              <w:t>。</w:t>
            </w:r>
          </w:p>
          <w:p>
            <w:pPr>
              <w:widowControl w:val="0"/>
              <w:adjustRightInd w:val="0"/>
              <w:snapToGrid w:val="0"/>
              <w:spacing w:after="0"/>
              <w:rPr>
                <w:rFonts w:hint="eastAsia" w:ascii="宋体" w:hAnsi="宋体" w:cs="宋体"/>
                <w:sz w:val="21"/>
                <w:szCs w:val="21"/>
              </w:rPr>
            </w:pPr>
            <w:r>
              <w:rPr>
                <w:rFonts w:hint="eastAsia" w:ascii="宋体" w:hAnsi="宋体" w:cs="宋体"/>
                <w:bCs/>
                <w:iCs/>
                <w:sz w:val="21"/>
                <w:szCs w:val="21"/>
                <w:lang w:val="en-US"/>
              </w:rPr>
              <w:t>浙江省产业基金的最终控制人为</w:t>
            </w:r>
            <w:r>
              <w:rPr>
                <w:rFonts w:hint="eastAsia" w:ascii="宋体" w:hAnsi="宋体" w:cs="宋体"/>
                <w:sz w:val="21"/>
                <w:szCs w:val="21"/>
              </w:rPr>
              <w:t>浙江省金融控股有限公司</w:t>
            </w:r>
            <w:r>
              <w:rPr>
                <w:rFonts w:hint="eastAsia" w:ascii="宋体" w:hAnsi="宋体" w:cs="宋体"/>
                <w:bCs/>
                <w:iCs/>
                <w:sz w:val="21"/>
                <w:szCs w:val="21"/>
                <w:lang w:val="en-US"/>
              </w:rPr>
              <w:t>，主要从事政府基金运作与管理、金融资本投资与运营、数字科技与数据资产、战略支撑性投资业务。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1940" w:type="dxa"/>
            <w:vMerge w:val="restart"/>
            <w:shd w:val="clear" w:color="auto" w:fill="D9D9D9"/>
            <w:vAlign w:val="center"/>
          </w:tcPr>
          <w:p>
            <w:pPr>
              <w:pStyle w:val="3"/>
              <w:adjustRightInd w:val="0"/>
              <w:snapToGrid w:val="0"/>
              <w:spacing w:after="0"/>
              <w:rPr>
                <w:rFonts w:ascii="宋体" w:hAnsi="宋体" w:cs="宋体"/>
                <w:bCs/>
                <w:color w:val="000000"/>
                <w:sz w:val="21"/>
                <w:szCs w:val="21"/>
                <w:lang w:val="en-US" w:eastAsia="zh-CN"/>
              </w:rPr>
            </w:pPr>
            <w:r>
              <w:rPr>
                <w:rFonts w:hint="eastAsia" w:ascii="宋体" w:hAnsi="宋体" w:cs="宋体"/>
                <w:bCs/>
                <w:color w:val="000000"/>
                <w:sz w:val="21"/>
                <w:szCs w:val="21"/>
                <w:lang w:eastAsia="zh-CN"/>
              </w:rPr>
              <w:t>简易案件理由（可以单选，也可以多选）</w:t>
            </w:r>
          </w:p>
        </w:tc>
        <w:tc>
          <w:tcPr>
            <w:tcW w:w="7700" w:type="dxa"/>
            <w:gridSpan w:val="2"/>
            <w:vAlign w:val="center"/>
          </w:tcPr>
          <w:p>
            <w:pPr>
              <w:pStyle w:val="3"/>
              <w:adjustRightInd w:val="0"/>
              <w:snapToGrid w:val="0"/>
              <w:spacing w:after="0"/>
              <w:rPr>
                <w:rFonts w:ascii="宋体" w:hAnsi="宋体" w:cs="宋体"/>
                <w:bCs/>
                <w:color w:val="000000"/>
                <w:sz w:val="21"/>
                <w:szCs w:val="21"/>
                <w:lang w:val="en-US" w:eastAsia="zh-CN"/>
              </w:rPr>
            </w:pPr>
            <w:r>
              <w:rPr>
                <w:rFonts w:hint="eastAsia" w:ascii="宋体" w:hAnsi="宋体" w:cs="宋体"/>
                <w:bCs/>
                <w:color w:val="000000"/>
                <w:sz w:val="21"/>
                <w:szCs w:val="21"/>
                <w:lang w:eastAsia="zh-CN"/>
              </w:rPr>
              <w:sym w:font="Wingdings" w:char="00FE"/>
            </w:r>
            <w:r>
              <w:rPr>
                <w:rFonts w:hint="eastAsia" w:ascii="宋体" w:hAnsi="宋体" w:cs="宋体"/>
                <w:bCs/>
                <w:color w:val="000000"/>
                <w:sz w:val="21"/>
                <w:szCs w:val="21"/>
                <w:lang w:eastAsia="zh-CN"/>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1940" w:type="dxa"/>
            <w:vMerge w:val="continue"/>
            <w:shd w:val="clear" w:color="auto" w:fill="D9D9D9"/>
            <w:vAlign w:val="center"/>
          </w:tcPr>
          <w:p>
            <w:pPr>
              <w:pStyle w:val="3"/>
              <w:adjustRightInd w:val="0"/>
              <w:snapToGrid w:val="0"/>
              <w:spacing w:after="0"/>
              <w:rPr>
                <w:rFonts w:ascii="宋体" w:hAnsi="宋体" w:cs="宋体"/>
                <w:bCs/>
                <w:color w:val="000000"/>
                <w:sz w:val="21"/>
                <w:szCs w:val="21"/>
                <w:lang w:val="en-US" w:eastAsia="zh-CN"/>
              </w:rPr>
            </w:pPr>
          </w:p>
        </w:tc>
        <w:tc>
          <w:tcPr>
            <w:tcW w:w="7700" w:type="dxa"/>
            <w:gridSpan w:val="2"/>
            <w:vAlign w:val="center"/>
          </w:tcPr>
          <w:p>
            <w:pPr>
              <w:pStyle w:val="3"/>
              <w:adjustRightInd w:val="0"/>
              <w:snapToGrid w:val="0"/>
              <w:spacing w:after="0"/>
              <w:rPr>
                <w:rFonts w:ascii="宋体" w:hAnsi="宋体" w:cs="宋体"/>
                <w:bCs/>
                <w:color w:val="000000"/>
                <w:sz w:val="21"/>
                <w:szCs w:val="21"/>
                <w:lang w:val="en-US" w:eastAsia="zh-CN"/>
              </w:rPr>
            </w:pPr>
            <w:r>
              <w:rPr>
                <w:rFonts w:hint="eastAsia" w:ascii="宋体" w:hAnsi="宋体" w:cs="宋体"/>
                <w:bCs/>
                <w:color w:val="000000"/>
                <w:sz w:val="21"/>
                <w:szCs w:val="21"/>
                <w:lang w:eastAsia="zh-CN"/>
              </w:rPr>
              <w:sym w:font="Wingdings" w:char="00A8"/>
            </w:r>
            <w:r>
              <w:rPr>
                <w:rFonts w:hint="eastAsia" w:ascii="宋体" w:hAnsi="宋体" w:cs="宋体"/>
                <w:bCs/>
                <w:color w:val="000000"/>
                <w:sz w:val="21"/>
                <w:szCs w:val="21"/>
                <w:lang w:eastAsia="zh-CN"/>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940" w:type="dxa"/>
            <w:vMerge w:val="continue"/>
            <w:shd w:val="clear" w:color="auto" w:fill="D9D9D9"/>
            <w:vAlign w:val="center"/>
          </w:tcPr>
          <w:p>
            <w:pPr>
              <w:pStyle w:val="3"/>
              <w:adjustRightInd w:val="0"/>
              <w:snapToGrid w:val="0"/>
              <w:spacing w:after="0"/>
              <w:rPr>
                <w:rFonts w:ascii="宋体" w:hAnsi="宋体" w:cs="宋体"/>
                <w:bCs/>
                <w:color w:val="000000"/>
                <w:sz w:val="21"/>
                <w:szCs w:val="21"/>
                <w:lang w:val="en-US" w:eastAsia="zh-CN"/>
              </w:rPr>
            </w:pPr>
          </w:p>
        </w:tc>
        <w:tc>
          <w:tcPr>
            <w:tcW w:w="7700" w:type="dxa"/>
            <w:gridSpan w:val="2"/>
            <w:vAlign w:val="center"/>
          </w:tcPr>
          <w:p>
            <w:pPr>
              <w:pStyle w:val="3"/>
              <w:adjustRightInd w:val="0"/>
              <w:snapToGrid w:val="0"/>
              <w:spacing w:after="0"/>
              <w:rPr>
                <w:rFonts w:ascii="宋体" w:hAnsi="宋体" w:cs="宋体"/>
                <w:bCs/>
                <w:color w:val="000000"/>
                <w:sz w:val="21"/>
                <w:szCs w:val="21"/>
                <w:lang w:val="en-US" w:eastAsia="zh-CN"/>
              </w:rPr>
            </w:pPr>
            <w:r>
              <w:rPr>
                <w:rFonts w:hint="eastAsia" w:ascii="宋体" w:hAnsi="宋体" w:cs="宋体"/>
                <w:bCs/>
                <w:color w:val="000000"/>
                <w:sz w:val="21"/>
                <w:szCs w:val="21"/>
                <w:lang w:eastAsia="zh-CN"/>
              </w:rPr>
              <w:sym w:font="Wingdings" w:char="00A8"/>
            </w:r>
            <w:r>
              <w:rPr>
                <w:rFonts w:hint="eastAsia" w:ascii="宋体" w:hAnsi="宋体" w:cs="宋体"/>
                <w:bCs/>
                <w:color w:val="000000"/>
                <w:sz w:val="21"/>
                <w:szCs w:val="21"/>
                <w:lang w:eastAsia="zh-CN"/>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0" w:hRule="atLeast"/>
        </w:trPr>
        <w:tc>
          <w:tcPr>
            <w:tcW w:w="1940" w:type="dxa"/>
            <w:vMerge w:val="continue"/>
            <w:shd w:val="clear" w:color="auto" w:fill="D9D9D9"/>
            <w:vAlign w:val="center"/>
          </w:tcPr>
          <w:p>
            <w:pPr>
              <w:pStyle w:val="3"/>
              <w:adjustRightInd w:val="0"/>
              <w:snapToGrid w:val="0"/>
              <w:spacing w:after="0"/>
              <w:rPr>
                <w:rFonts w:ascii="宋体" w:hAnsi="宋体" w:cs="宋体"/>
                <w:bCs/>
                <w:color w:val="000000"/>
                <w:sz w:val="21"/>
                <w:szCs w:val="21"/>
                <w:lang w:val="en-US" w:eastAsia="zh-CN"/>
              </w:rPr>
            </w:pPr>
          </w:p>
        </w:tc>
        <w:tc>
          <w:tcPr>
            <w:tcW w:w="7700" w:type="dxa"/>
            <w:gridSpan w:val="2"/>
            <w:vAlign w:val="center"/>
          </w:tcPr>
          <w:p>
            <w:pPr>
              <w:pStyle w:val="3"/>
              <w:adjustRightInd w:val="0"/>
              <w:snapToGrid w:val="0"/>
              <w:spacing w:after="0"/>
              <w:rPr>
                <w:rFonts w:ascii="宋体" w:hAnsi="宋体" w:cs="宋体"/>
                <w:bCs/>
                <w:color w:val="000000"/>
                <w:sz w:val="21"/>
                <w:szCs w:val="21"/>
                <w:lang w:val="en-US" w:eastAsia="zh-CN"/>
              </w:rPr>
            </w:pPr>
            <w:r>
              <w:rPr>
                <w:rFonts w:hint="eastAsia" w:ascii="宋体" w:hAnsi="宋体" w:cs="宋体"/>
                <w:bCs/>
                <w:color w:val="000000"/>
                <w:sz w:val="21"/>
                <w:szCs w:val="21"/>
                <w:lang w:eastAsia="zh-CN"/>
              </w:rPr>
              <w:sym w:font="Wingdings" w:char="00A8"/>
            </w:r>
            <w:r>
              <w:rPr>
                <w:rFonts w:hint="eastAsia" w:ascii="宋体" w:hAnsi="宋体" w:cs="宋体"/>
                <w:bCs/>
                <w:color w:val="000000"/>
                <w:sz w:val="21"/>
                <w:szCs w:val="21"/>
                <w:lang w:eastAsia="zh-CN"/>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trPr>
        <w:tc>
          <w:tcPr>
            <w:tcW w:w="1940" w:type="dxa"/>
            <w:vMerge w:val="continue"/>
            <w:shd w:val="clear" w:color="auto" w:fill="D9D9D9"/>
            <w:vAlign w:val="center"/>
          </w:tcPr>
          <w:p>
            <w:pPr>
              <w:pStyle w:val="3"/>
              <w:adjustRightInd w:val="0"/>
              <w:snapToGrid w:val="0"/>
              <w:spacing w:after="0"/>
              <w:rPr>
                <w:rFonts w:ascii="宋体" w:hAnsi="宋体" w:cs="宋体"/>
                <w:bCs/>
                <w:color w:val="000000"/>
                <w:sz w:val="21"/>
                <w:szCs w:val="21"/>
                <w:lang w:val="en-US" w:eastAsia="zh-CN"/>
              </w:rPr>
            </w:pPr>
          </w:p>
        </w:tc>
        <w:tc>
          <w:tcPr>
            <w:tcW w:w="7700" w:type="dxa"/>
            <w:gridSpan w:val="2"/>
            <w:vAlign w:val="center"/>
          </w:tcPr>
          <w:p>
            <w:pPr>
              <w:pStyle w:val="3"/>
              <w:adjustRightInd w:val="0"/>
              <w:snapToGrid w:val="0"/>
              <w:spacing w:after="0"/>
              <w:rPr>
                <w:rFonts w:ascii="宋体" w:hAnsi="宋体" w:cs="宋体"/>
                <w:bCs/>
                <w:color w:val="000000"/>
                <w:sz w:val="21"/>
                <w:szCs w:val="21"/>
                <w:lang w:val="en-US" w:eastAsia="zh-CN"/>
              </w:rPr>
            </w:pPr>
            <w:r>
              <w:rPr>
                <w:rFonts w:hint="eastAsia" w:ascii="宋体" w:hAnsi="宋体" w:cs="宋体"/>
                <w:bCs/>
                <w:color w:val="000000"/>
                <w:sz w:val="21"/>
                <w:szCs w:val="21"/>
                <w:lang w:eastAsia="zh-CN"/>
              </w:rPr>
              <w:sym w:font="Wingdings" w:char="00A8"/>
            </w:r>
            <w:r>
              <w:rPr>
                <w:rFonts w:hint="eastAsia" w:ascii="宋体" w:hAnsi="宋体" w:cs="宋体"/>
                <w:bCs/>
                <w:color w:val="000000"/>
                <w:sz w:val="21"/>
                <w:szCs w:val="21"/>
                <w:lang w:eastAsia="zh-CN"/>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trPr>
        <w:tc>
          <w:tcPr>
            <w:tcW w:w="1940" w:type="dxa"/>
            <w:vMerge w:val="continue"/>
            <w:shd w:val="clear" w:color="auto" w:fill="D9D9D9"/>
            <w:vAlign w:val="center"/>
          </w:tcPr>
          <w:p>
            <w:pPr>
              <w:pStyle w:val="3"/>
              <w:adjustRightInd w:val="0"/>
              <w:snapToGrid w:val="0"/>
              <w:spacing w:after="0"/>
              <w:rPr>
                <w:rFonts w:ascii="宋体" w:hAnsi="宋体" w:cs="宋体"/>
                <w:bCs/>
                <w:color w:val="000000"/>
                <w:sz w:val="21"/>
                <w:szCs w:val="21"/>
                <w:lang w:val="en-US" w:eastAsia="zh-CN"/>
              </w:rPr>
            </w:pPr>
          </w:p>
        </w:tc>
        <w:tc>
          <w:tcPr>
            <w:tcW w:w="7700" w:type="dxa"/>
            <w:gridSpan w:val="2"/>
            <w:vAlign w:val="center"/>
          </w:tcPr>
          <w:p>
            <w:pPr>
              <w:pStyle w:val="3"/>
              <w:adjustRightInd w:val="0"/>
              <w:snapToGrid w:val="0"/>
              <w:spacing w:after="0"/>
              <w:rPr>
                <w:rFonts w:ascii="宋体" w:hAnsi="宋体" w:cs="宋体"/>
                <w:bCs/>
                <w:color w:val="000000"/>
                <w:sz w:val="21"/>
                <w:szCs w:val="21"/>
                <w:lang w:val="en-US" w:eastAsia="zh-CN"/>
              </w:rPr>
            </w:pPr>
            <w:r>
              <w:rPr>
                <w:rFonts w:hint="eastAsia" w:ascii="宋体" w:hAnsi="宋体" w:cs="宋体"/>
                <w:bCs/>
                <w:color w:val="000000"/>
                <w:sz w:val="21"/>
                <w:szCs w:val="21"/>
                <w:lang w:eastAsia="zh-CN"/>
              </w:rPr>
              <w:sym w:font="Wingdings" w:char="00A8"/>
            </w:r>
            <w:r>
              <w:rPr>
                <w:rFonts w:hint="eastAsia" w:ascii="宋体" w:hAnsi="宋体" w:cs="宋体"/>
                <w:bCs/>
                <w:color w:val="000000"/>
                <w:sz w:val="21"/>
                <w:szCs w:val="21"/>
                <w:lang w:eastAsia="zh-CN"/>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250" w:hRule="atLeast"/>
        </w:trPr>
        <w:tc>
          <w:tcPr>
            <w:tcW w:w="1940" w:type="dxa"/>
            <w:shd w:val="clear" w:color="auto" w:fill="D9D9D9"/>
            <w:vAlign w:val="center"/>
          </w:tcPr>
          <w:p>
            <w:pPr>
              <w:pStyle w:val="3"/>
              <w:adjustRightInd w:val="0"/>
              <w:snapToGrid w:val="0"/>
              <w:spacing w:after="0"/>
              <w:rPr>
                <w:rFonts w:ascii="宋体" w:hAnsi="宋体" w:cs="宋体"/>
                <w:bCs/>
                <w:color w:val="000000"/>
                <w:sz w:val="21"/>
                <w:szCs w:val="21"/>
                <w:lang w:val="en-US" w:eastAsia="zh-CN"/>
              </w:rPr>
            </w:pPr>
            <w:r>
              <w:rPr>
                <w:rFonts w:hint="eastAsia" w:ascii="宋体" w:hAnsi="宋体" w:cs="宋体"/>
                <w:bCs/>
                <w:color w:val="000000"/>
                <w:sz w:val="21"/>
                <w:szCs w:val="21"/>
                <w:lang w:val="en-US" w:eastAsia="zh-CN"/>
              </w:rPr>
              <w:t>备注</w:t>
            </w:r>
          </w:p>
        </w:tc>
        <w:tc>
          <w:tcPr>
            <w:tcW w:w="7700" w:type="dxa"/>
            <w:gridSpan w:val="2"/>
            <w:vAlign w:val="center"/>
          </w:tcPr>
          <w:p>
            <w:pPr>
              <w:pStyle w:val="3"/>
              <w:adjustRightInd w:val="0"/>
              <w:spacing w:after="0"/>
              <w:rPr>
                <w:rFonts w:ascii="宋体" w:hAnsi="宋体" w:cs="宋体"/>
                <w:b/>
                <w:bCs/>
                <w:color w:val="000000"/>
                <w:sz w:val="21"/>
                <w:szCs w:val="21"/>
                <w:lang w:val="en-US" w:eastAsia="zh-CN"/>
              </w:rPr>
            </w:pPr>
            <w:r>
              <w:rPr>
                <w:rFonts w:hint="eastAsia" w:ascii="宋体" w:hAnsi="宋体" w:cs="宋体"/>
                <w:b/>
                <w:bCs/>
                <w:color w:val="000000"/>
                <w:sz w:val="21"/>
                <w:szCs w:val="21"/>
                <w:lang w:val="en-US" w:eastAsia="zh-CN"/>
              </w:rPr>
              <w:t>横向重叠：</w:t>
            </w:r>
          </w:p>
          <w:p>
            <w:pPr>
              <w:pStyle w:val="3"/>
              <w:adjustRightInd w:val="0"/>
              <w:snapToGrid w:val="0"/>
              <w:spacing w:after="0"/>
              <w:rPr>
                <w:rFonts w:ascii="宋体" w:hAnsi="宋体" w:cs="宋体"/>
                <w:bCs/>
                <w:color w:val="000000"/>
                <w:sz w:val="21"/>
                <w:szCs w:val="21"/>
                <w:lang w:val="en-US" w:eastAsia="zh-CN"/>
              </w:rPr>
            </w:pPr>
            <w:r>
              <w:rPr>
                <w:rFonts w:hint="eastAsia" w:ascii="宋体" w:hAnsi="宋体" w:cs="宋体"/>
                <w:bCs/>
                <w:color w:val="000000"/>
                <w:sz w:val="21"/>
                <w:szCs w:val="21"/>
                <w:lang w:val="en-US" w:eastAsia="zh-CN"/>
              </w:rPr>
              <w:t>2022年中国境内私募股权投资基金市场：</w:t>
            </w:r>
          </w:p>
          <w:p>
            <w:pPr>
              <w:pStyle w:val="3"/>
              <w:adjustRightInd w:val="0"/>
              <w:snapToGrid w:val="0"/>
              <w:spacing w:after="0"/>
              <w:rPr>
                <w:rFonts w:ascii="宋体" w:hAnsi="宋体" w:cs="宋体"/>
                <w:bCs/>
                <w:color w:val="000000"/>
                <w:sz w:val="21"/>
                <w:szCs w:val="21"/>
                <w:lang w:val="en-US" w:eastAsia="zh-CN"/>
              </w:rPr>
            </w:pPr>
            <w:r>
              <w:rPr>
                <w:rFonts w:hint="eastAsia" w:ascii="宋体" w:hAnsi="宋体" w:cs="宋体"/>
                <w:bCs/>
                <w:color w:val="000000"/>
                <w:sz w:val="21"/>
                <w:szCs w:val="21"/>
                <w:lang w:val="en-US" w:eastAsia="zh-CN"/>
              </w:rPr>
              <w:t>招银资本：0-5%，浙能基金:0-5%，浙江省产业基金：0</w:t>
            </w:r>
            <w:r>
              <w:rPr>
                <w:rFonts w:ascii="宋体" w:hAnsi="宋体" w:cs="宋体"/>
                <w:bCs/>
                <w:color w:val="000000"/>
                <w:sz w:val="21"/>
                <w:szCs w:val="21"/>
                <w:lang w:val="en-US" w:eastAsia="zh-CN"/>
              </w:rPr>
              <w:t>-5%</w:t>
            </w:r>
            <w:r>
              <w:rPr>
                <w:rFonts w:hint="eastAsia" w:ascii="宋体" w:hAnsi="宋体" w:cs="宋体"/>
                <w:bCs/>
                <w:color w:val="000000"/>
                <w:sz w:val="21"/>
                <w:szCs w:val="21"/>
                <w:lang w:val="en-US" w:eastAsia="zh-CN"/>
              </w:rPr>
              <w:t>，合营企业（预计）：0</w:t>
            </w:r>
            <w:r>
              <w:rPr>
                <w:rFonts w:ascii="宋体" w:hAnsi="宋体" w:cs="宋体"/>
                <w:bCs/>
                <w:color w:val="000000"/>
                <w:sz w:val="21"/>
                <w:szCs w:val="21"/>
                <w:lang w:val="en-US" w:eastAsia="zh-CN"/>
              </w:rPr>
              <w:t>-5%</w:t>
            </w:r>
            <w:r>
              <w:rPr>
                <w:rFonts w:hint="eastAsia" w:ascii="宋体" w:hAnsi="宋体" w:cs="宋体"/>
                <w:bCs/>
                <w:color w:val="000000"/>
                <w:sz w:val="21"/>
                <w:szCs w:val="21"/>
                <w:lang w:val="en-US" w:eastAsia="zh-CN"/>
              </w:rPr>
              <w:t>，各方合计：0-5%</w:t>
            </w:r>
          </w:p>
        </w:tc>
      </w:tr>
    </w:tbl>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597277"/>
    <w:rsid w:val="3E5972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Layout w:type="fixed"/>
      <w:tblCellMar>
        <w:top w:w="0" w:type="dxa"/>
        <w:left w:w="108" w:type="dxa"/>
        <w:bottom w:w="0" w:type="dxa"/>
        <w:right w:w="108" w:type="dxa"/>
      </w:tblCellMar>
    </w:tblPr>
  </w:style>
  <w:style w:type="paragraph" w:styleId="2">
    <w:name w:val="Normal Indent"/>
    <w:next w:val="1"/>
    <w:qFormat/>
    <w:uiPriority w:val="99"/>
    <w:pPr>
      <w:widowControl w:val="0"/>
      <w:jc w:val="both"/>
    </w:pPr>
    <w:rPr>
      <w:rFonts w:ascii="Times New Roman" w:hAnsi="Times New Roman" w:eastAsia="宋体" w:cs="Times New Roman"/>
      <w:kern w:val="2"/>
      <w:sz w:val="21"/>
      <w:szCs w:val="24"/>
      <w:lang w:val="en-US" w:eastAsia="zh-CN" w:bidi="ar-SA"/>
    </w:rPr>
  </w:style>
  <w:style w:type="paragraph" w:styleId="3">
    <w:name w:val="Body Text"/>
    <w:unhideWhenUsed/>
    <w:qFormat/>
    <w:uiPriority w:val="99"/>
    <w:pPr>
      <w:widowControl w:val="0"/>
      <w:spacing w:after="120"/>
      <w:jc w:val="both"/>
    </w:pPr>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Office_11.8.2.8696_F1E327BC-269C-435d-A152-05C5408002CA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2024-03-07T07:47:00Z</dcterms:created>
  <dc:creator>zhangzc</dc:creator>
  <cp:lastModifiedBy>zhangzc</cp:lastModifiedBy>
  <dcterms:modified xsi:type="dcterms:W3CDTF">2024-03-07T07:47:44Z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2052-11.8.2.8696</vt:lpwstr>
  </property>
</Properties>
</file>