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tabs>
          <w:tab w:val="left" w:pos="2100"/>
        </w:tabs>
        <w:spacing w:before="0" w:beforeLines="-2147483648" w:after="240" w:afterLines="-2147483648" w:line="240" w:lineRule="auto"/>
        <w:jc w:val="center"/>
        <w:rPr>
          <w:rFonts w:ascii="黑体" w:hAnsi="黑体" w:eastAsia="黑体" w:cs="黑体"/>
          <w:bCs/>
          <w:kern w:val="0"/>
          <w:sz w:val="36"/>
          <w:szCs w:val="36"/>
          <w:lang w:val="en-GB" w:bidi="ar-AE"/>
        </w:rPr>
      </w:pPr>
      <w:r>
        <w:rPr>
          <w:rFonts w:hint="eastAsia" w:ascii="黑体" w:hAnsi="黑体" w:eastAsia="黑体" w:cs="黑体"/>
          <w:bCs/>
          <w:kern w:val="0"/>
          <w:sz w:val="36"/>
          <w:szCs w:val="36"/>
          <w:lang w:val="en-GB" w:bidi="ar-AE"/>
        </w:rPr>
        <w:t>经营者集中简易案件公示表</w:t>
      </w:r>
    </w:p>
    <w:tbl>
      <w:tblPr>
        <w:tblStyle w:val="7"/>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eastAsia="en-GB" w:bidi="ar-AE"/>
              </w:rPr>
            </w:pPr>
            <w:r>
              <w:rPr>
                <w:rFonts w:hint="default" w:ascii="Times New Roman Regular" w:hAnsi="Times New Roman Regular" w:eastAsia="宋体" w:cs="Times New Roman Regular"/>
                <w:bCs/>
                <w:color w:val="000000"/>
                <w:kern w:val="0"/>
                <w:sz w:val="24"/>
                <w:szCs w:val="24"/>
                <w:lang w:val="en-GB" w:eastAsia="en-GB" w:bidi="ar-AE"/>
              </w:rPr>
              <w:t>案件名称</w:t>
            </w:r>
          </w:p>
        </w:tc>
        <w:tc>
          <w:tcPr>
            <w:tcW w:w="7700" w:type="dxa"/>
            <w:gridSpan w:val="2"/>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r>
              <w:rPr>
                <w:rFonts w:hint="default" w:ascii="Times New Roman Regular" w:hAnsi="Times New Roman Regular" w:eastAsia="宋体" w:cs="Times New Roman Regular"/>
                <w:bCs/>
                <w:color w:val="000000"/>
                <w:kern w:val="0"/>
                <w:lang w:bidi="ar-AE"/>
              </w:rPr>
              <w:t>山东港口基金管理有限公司与山东东财建设投资集团有限公司等经营者新设合营企业案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D9D9D9"/>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r>
              <w:rPr>
                <w:rFonts w:hint="default" w:ascii="Times New Roman Regular" w:hAnsi="Times New Roman Regular" w:eastAsia="宋体" w:cs="Times New Roman Regular"/>
                <w:bCs/>
                <w:color w:val="000000"/>
                <w:kern w:val="0"/>
                <w:sz w:val="24"/>
                <w:szCs w:val="24"/>
                <w:lang w:val="en-GB" w:bidi="ar-AE"/>
              </w:rPr>
              <w:t>交易概况</w:t>
            </w:r>
          </w:p>
        </w:tc>
        <w:tc>
          <w:tcPr>
            <w:tcW w:w="7700" w:type="dxa"/>
            <w:gridSpan w:val="2"/>
            <w:vAlign w:val="center"/>
          </w:tcPr>
          <w:p>
            <w:pPr>
              <w:adjustRightInd w:val="0"/>
              <w:snapToGrid w:val="0"/>
              <w:spacing w:before="0" w:beforeLines="-2147483648" w:after="0" w:afterLines="-2147483648" w:line="240" w:lineRule="auto"/>
              <w:rPr>
                <w:rFonts w:ascii="Times New Roman Regular" w:hAnsi="Times New Roman Regular" w:eastAsia="宋体" w:cs="Times New Roman Regular"/>
                <w:kern w:val="0"/>
                <w:sz w:val="24"/>
                <w:szCs w:val="24"/>
                <w:lang w:bidi="ar-AE"/>
              </w:rPr>
            </w:pPr>
            <w:r>
              <w:rPr>
                <w:rFonts w:hint="default" w:ascii="Times New Roman Regular" w:hAnsi="Times New Roman Regular" w:eastAsia="宋体" w:cs="Times New Roman Regular"/>
                <w:bCs/>
                <w:color w:val="000000"/>
                <w:kern w:val="0"/>
                <w:lang w:bidi="ar-AE"/>
              </w:rPr>
              <w:t>山东港口基金管理有限公司（“山港基金”）</w:t>
            </w:r>
            <w:r>
              <w:rPr>
                <w:rFonts w:hint="default" w:ascii="Times New Roman Regular" w:hAnsi="Times New Roman Regular" w:eastAsia="宋体" w:cs="Times New Roman Regular"/>
                <w:bCs/>
                <w:color w:val="000000"/>
                <w:kern w:val="0"/>
                <w:sz w:val="24"/>
                <w:szCs w:val="24"/>
                <w:lang w:eastAsia="zh-CN" w:bidi="ar-AE"/>
              </w:rPr>
              <w:t>、</w:t>
            </w:r>
            <w:r>
              <w:rPr>
                <w:rFonts w:hint="default" w:ascii="Times New Roman Regular" w:hAnsi="Times New Roman Regular" w:eastAsia="宋体" w:cs="Times New Roman Regular"/>
                <w:bCs/>
                <w:color w:val="000000"/>
                <w:kern w:val="0"/>
                <w:lang w:bidi="ar-AE"/>
              </w:rPr>
              <w:t>山东东财建设投资集团有限公司</w:t>
            </w:r>
            <w:r>
              <w:rPr>
                <w:rFonts w:hint="default" w:ascii="Times New Roman Regular" w:hAnsi="Times New Roman Regular" w:eastAsia="宋体" w:cs="Times New Roman Regular"/>
                <w:bCs/>
                <w:color w:val="000000"/>
                <w:kern w:val="0"/>
                <w:lang w:eastAsia="zh-CN" w:bidi="ar-AE"/>
              </w:rPr>
              <w:t>（“</w:t>
            </w:r>
            <w:r>
              <w:rPr>
                <w:rFonts w:hint="default" w:ascii="Times New Roman Regular" w:hAnsi="Times New Roman Regular" w:eastAsia="宋体" w:cs="Times New Roman Regular"/>
                <w:bCs/>
                <w:color w:val="000000"/>
                <w:kern w:val="0"/>
                <w:lang w:val="en-US" w:eastAsia="zh-CN" w:bidi="ar-AE"/>
              </w:rPr>
              <w:t>山东东财</w:t>
            </w:r>
            <w:r>
              <w:rPr>
                <w:rFonts w:hint="default" w:ascii="Times New Roman Regular" w:hAnsi="Times New Roman Regular" w:eastAsia="宋体" w:cs="Times New Roman Regular"/>
                <w:bCs/>
                <w:color w:val="000000"/>
                <w:kern w:val="0"/>
                <w:lang w:eastAsia="zh-CN" w:bidi="ar-AE"/>
              </w:rPr>
              <w:t>”）、</w:t>
            </w:r>
            <w:r>
              <w:rPr>
                <w:rFonts w:hint="default" w:ascii="Times New Roman Regular" w:hAnsi="Times New Roman Regular" w:eastAsia="宋体" w:cs="Times New Roman Regular"/>
                <w:bCs/>
                <w:color w:val="000000"/>
                <w:kern w:val="0"/>
                <w:lang w:bidi="ar-AE"/>
              </w:rPr>
              <w:t>聊城市财信新动能基金管理有限公司</w:t>
            </w:r>
            <w:r>
              <w:rPr>
                <w:rFonts w:hint="default" w:ascii="Times New Roman Regular" w:hAnsi="Times New Roman Regular" w:eastAsia="宋体" w:cs="Times New Roman Regular"/>
                <w:bCs/>
                <w:color w:val="000000"/>
                <w:kern w:val="0"/>
                <w:lang w:eastAsia="zh-CN" w:bidi="ar-AE"/>
              </w:rPr>
              <w:t>（“</w:t>
            </w:r>
            <w:r>
              <w:rPr>
                <w:rFonts w:hint="default" w:ascii="Times New Roman Regular" w:hAnsi="Times New Roman Regular" w:eastAsia="宋体" w:cs="Times New Roman Regular"/>
                <w:bCs/>
                <w:color w:val="000000"/>
                <w:kern w:val="0"/>
                <w:lang w:val="en-US" w:eastAsia="zh-CN" w:bidi="ar-AE"/>
              </w:rPr>
              <w:t>聊城财信”</w:t>
            </w:r>
            <w:r>
              <w:rPr>
                <w:rFonts w:hint="default" w:ascii="Times New Roman Regular" w:hAnsi="Times New Roman Regular" w:eastAsia="宋体" w:cs="Times New Roman Regular"/>
                <w:bCs/>
                <w:color w:val="000000"/>
                <w:kern w:val="0"/>
                <w:lang w:eastAsia="zh-CN" w:bidi="ar-AE"/>
              </w:rPr>
              <w:t>）</w:t>
            </w:r>
            <w:r>
              <w:rPr>
                <w:rFonts w:hint="default" w:ascii="Times New Roman Regular" w:hAnsi="Times New Roman Regular" w:eastAsia="宋体" w:cs="Times New Roman Regular"/>
                <w:bCs/>
                <w:color w:val="000000"/>
                <w:kern w:val="0"/>
                <w:lang w:val="en-US" w:eastAsia="zh-CN" w:bidi="ar-AE"/>
              </w:rPr>
              <w:t>、山东港泰产业投资有限公司（“港泰产投”）</w:t>
            </w:r>
            <w:r>
              <w:rPr>
                <w:rFonts w:hint="default" w:ascii="Times New Roman Regular" w:hAnsi="Times New Roman Regular" w:eastAsia="宋体" w:cs="Times New Roman Regular"/>
                <w:kern w:val="0"/>
                <w:sz w:val="24"/>
                <w:szCs w:val="24"/>
                <w:lang w:bidi="ar-AE"/>
              </w:rPr>
              <w:t>拟共同出资设立合营企业</w:t>
            </w:r>
            <w:r>
              <w:rPr>
                <w:rFonts w:hint="default" w:ascii="Times New Roman Regular" w:hAnsi="Times New Roman Regular" w:eastAsia="宋体" w:cs="Times New Roman Regular"/>
                <w:kern w:val="0"/>
                <w:sz w:val="24"/>
                <w:szCs w:val="24"/>
                <w:lang w:val="en-GB" w:bidi="ar-AE"/>
              </w:rPr>
              <w:t>，</w:t>
            </w:r>
            <w:r>
              <w:rPr>
                <w:rFonts w:hint="default" w:ascii="Times New Roman Regular" w:hAnsi="Times New Roman Regular" w:eastAsia="宋体" w:cs="Times New Roman Regular"/>
                <w:kern w:val="0"/>
                <w:sz w:val="24"/>
                <w:szCs w:val="24"/>
                <w:lang w:bidi="ar-AE"/>
              </w:rPr>
              <w:t>合营企业主要</w:t>
            </w:r>
            <w:r>
              <w:rPr>
                <w:rFonts w:hint="default" w:ascii="Times New Roman Regular" w:hAnsi="Times New Roman Regular" w:eastAsia="宋体" w:cs="Times New Roman Regular"/>
                <w:kern w:val="0"/>
                <w:sz w:val="24"/>
                <w:szCs w:val="24"/>
                <w:lang w:val="en-US" w:eastAsia="zh-CN" w:bidi="ar-AE"/>
              </w:rPr>
              <w:t>在</w:t>
            </w:r>
            <w:r>
              <w:rPr>
                <w:rFonts w:hint="default" w:ascii="Times New Roman Regular" w:hAnsi="Times New Roman Regular" w:eastAsia="宋体" w:cs="Times New Roman Regular"/>
                <w:kern w:val="0"/>
                <w:sz w:val="24"/>
                <w:szCs w:val="24"/>
                <w:lang w:bidi="ar-AE"/>
              </w:rPr>
              <w:t>中国境内</w:t>
            </w:r>
            <w:r>
              <w:rPr>
                <w:rFonts w:hint="default" w:ascii="Times New Roman Regular" w:hAnsi="Times New Roman Regular" w:eastAsia="宋体" w:cs="Times New Roman Regular"/>
                <w:kern w:val="0"/>
                <w:sz w:val="24"/>
                <w:szCs w:val="24"/>
                <w:lang w:val="en-US" w:eastAsia="zh-CN" w:bidi="ar-AE"/>
              </w:rPr>
              <w:t>从事</w:t>
            </w:r>
            <w:r>
              <w:rPr>
                <w:rFonts w:hint="default" w:ascii="Times New Roman Regular" w:hAnsi="Times New Roman Regular" w:eastAsia="宋体" w:cs="Times New Roman Regular"/>
                <w:kern w:val="0"/>
                <w:sz w:val="24"/>
                <w:szCs w:val="24"/>
                <w:lang w:bidi="ar-AE"/>
              </w:rPr>
              <w:t>私募股权投资基金业务。</w:t>
            </w:r>
            <w:r>
              <w:rPr>
                <w:rFonts w:hint="eastAsia" w:ascii="Times New Roman Regular" w:hAnsi="Times New Roman Regular" w:cs="Times New Roman Regular"/>
                <w:kern w:val="0"/>
                <w:sz w:val="24"/>
                <w:szCs w:val="24"/>
                <w:lang w:val="en-US" w:eastAsia="zh-CN" w:bidi="ar-AE"/>
              </w:rPr>
              <w:t>本次交易前，山港基金、山东东财、</w:t>
            </w:r>
            <w:r>
              <w:rPr>
                <w:rFonts w:hint="eastAsia" w:ascii="Times New Roman Regular" w:hAnsi="Times New Roman Regular" w:cs="Times New Roman Regular"/>
                <w:kern w:val="0"/>
                <w:lang w:bidi="ar-AE"/>
              </w:rPr>
              <w:t>聊城财信</w:t>
            </w:r>
            <w:r>
              <w:rPr>
                <w:rFonts w:hint="eastAsia" w:ascii="Times New Roman Regular" w:hAnsi="Times New Roman Regular" w:cs="Times New Roman Regular"/>
                <w:kern w:val="0"/>
                <w:sz w:val="24"/>
                <w:szCs w:val="24"/>
                <w:lang w:val="en-US" w:eastAsia="zh-CN" w:bidi="ar-AE"/>
              </w:rPr>
              <w:t>相互独立，不存在股权和控制关系。</w:t>
            </w:r>
            <w:r>
              <w:rPr>
                <w:rFonts w:hint="default" w:ascii="Times New Roman Regular" w:hAnsi="Times New Roman Regular" w:eastAsia="宋体" w:cs="Times New Roman Regular"/>
                <w:kern w:val="0"/>
                <w:sz w:val="24"/>
                <w:szCs w:val="24"/>
                <w:lang w:bidi="ar-AE"/>
              </w:rPr>
              <w:t>本次交易后，</w:t>
            </w:r>
            <w:r>
              <w:rPr>
                <w:rFonts w:hint="default" w:ascii="Times New Roman Regular" w:hAnsi="Times New Roman Regular" w:eastAsia="宋体" w:cs="Times New Roman Regular"/>
                <w:kern w:val="0"/>
                <w:sz w:val="24"/>
                <w:szCs w:val="24"/>
                <w:lang w:eastAsia="zh-CN" w:bidi="ar-AE"/>
              </w:rPr>
              <w:t>山港基金</w:t>
            </w:r>
            <w:r>
              <w:rPr>
                <w:rFonts w:hint="default" w:ascii="Times New Roman Regular" w:hAnsi="Times New Roman Regular" w:eastAsia="宋体" w:cs="Times New Roman Regular"/>
                <w:kern w:val="0"/>
                <w:sz w:val="24"/>
                <w:szCs w:val="24"/>
                <w:lang w:bidi="ar-AE"/>
              </w:rPr>
              <w:t>、</w:t>
            </w:r>
            <w:r>
              <w:rPr>
                <w:rFonts w:hint="default" w:ascii="Times New Roman Regular" w:hAnsi="Times New Roman Regular" w:eastAsia="宋体" w:cs="Times New Roman Regular"/>
                <w:kern w:val="0"/>
                <w:sz w:val="24"/>
                <w:szCs w:val="24"/>
                <w:lang w:eastAsia="zh-CN" w:bidi="ar-AE"/>
              </w:rPr>
              <w:t>山东东财、</w:t>
            </w:r>
            <w:r>
              <w:rPr>
                <w:rFonts w:hint="default" w:ascii="Times New Roman Regular" w:hAnsi="Times New Roman Regular" w:eastAsia="宋体" w:cs="Times New Roman Regular"/>
                <w:kern w:val="0"/>
                <w:sz w:val="24"/>
                <w:szCs w:val="24"/>
                <w:lang w:val="en-US" w:eastAsia="zh-CN" w:bidi="ar-AE"/>
              </w:rPr>
              <w:t>聊城财信</w:t>
            </w:r>
            <w:r>
              <w:rPr>
                <w:rFonts w:hint="default" w:ascii="Times New Roman Regular" w:hAnsi="Times New Roman Regular" w:eastAsia="宋体" w:cs="Times New Roman Regular"/>
                <w:kern w:val="0"/>
                <w:sz w:val="24"/>
                <w:szCs w:val="24"/>
                <w:lang w:bidi="ar-AE"/>
              </w:rPr>
              <w:t>将分别持有合营企业</w:t>
            </w:r>
            <w:r>
              <w:rPr>
                <w:rFonts w:hint="eastAsia" w:ascii="Times New Roman Regular" w:hAnsi="Times New Roman Regular" w:cs="Times New Roman Regular"/>
                <w:kern w:val="0"/>
                <w:sz w:val="24"/>
                <w:szCs w:val="24"/>
                <w:lang w:val="en-US" w:eastAsia="zh-CN" w:bidi="ar-AE"/>
              </w:rPr>
              <w:t>40</w:t>
            </w:r>
            <w:r>
              <w:rPr>
                <w:rFonts w:ascii="Times New Roman Regular" w:hAnsi="Times New Roman Regular" w:eastAsia="宋体" w:cs="Times New Roman Regular"/>
                <w:kern w:val="0"/>
                <w:sz w:val="24"/>
                <w:szCs w:val="24"/>
                <w:lang w:bidi="ar-AE"/>
              </w:rPr>
              <w:t>%</w:t>
            </w:r>
            <w:r>
              <w:rPr>
                <w:rFonts w:hint="default" w:ascii="Times New Roman Regular" w:hAnsi="Times New Roman Regular" w:eastAsia="宋体" w:cs="Times New Roman Regular"/>
                <w:kern w:val="0"/>
                <w:sz w:val="24"/>
                <w:szCs w:val="24"/>
                <w:lang w:bidi="ar-AE"/>
              </w:rPr>
              <w:t>、</w:t>
            </w:r>
            <w:r>
              <w:rPr>
                <w:rFonts w:hint="default" w:ascii="Times New Roman Regular" w:hAnsi="Times New Roman Regular" w:eastAsia="宋体" w:cs="Times New Roman Regular"/>
                <w:kern w:val="0"/>
                <w:sz w:val="24"/>
                <w:szCs w:val="24"/>
                <w:lang w:val="en-US" w:eastAsia="zh-CN" w:bidi="ar-AE"/>
              </w:rPr>
              <w:t>30</w:t>
            </w:r>
            <w:r>
              <w:rPr>
                <w:rFonts w:ascii="Times New Roman Regular" w:hAnsi="Times New Roman Regular" w:eastAsia="宋体" w:cs="Times New Roman Regular"/>
                <w:kern w:val="0"/>
                <w:sz w:val="24"/>
                <w:szCs w:val="24"/>
                <w:lang w:bidi="ar-AE"/>
              </w:rPr>
              <w:t>%</w:t>
            </w:r>
            <w:r>
              <w:rPr>
                <w:rFonts w:hint="default" w:ascii="Times New Roman Regular" w:hAnsi="Times New Roman Regular" w:eastAsia="宋体" w:cs="Times New Roman Regular"/>
                <w:kern w:val="0"/>
                <w:sz w:val="24"/>
                <w:szCs w:val="24"/>
                <w:lang w:eastAsia="zh-CN" w:bidi="ar-AE"/>
              </w:rPr>
              <w:t>、</w:t>
            </w:r>
            <w:r>
              <w:rPr>
                <w:rFonts w:hint="default" w:ascii="Times New Roman Regular" w:hAnsi="Times New Roman Regular" w:eastAsia="宋体" w:cs="Times New Roman Regular"/>
                <w:kern w:val="0"/>
                <w:sz w:val="24"/>
                <w:szCs w:val="24"/>
                <w:lang w:val="en-US" w:eastAsia="zh-CN" w:bidi="ar-AE"/>
              </w:rPr>
              <w:t>30%</w:t>
            </w:r>
            <w:r>
              <w:rPr>
                <w:rFonts w:hint="default" w:ascii="Times New Roman Regular" w:hAnsi="Times New Roman Regular" w:eastAsia="宋体" w:cs="Times New Roman Regular"/>
                <w:kern w:val="0"/>
                <w:sz w:val="24"/>
                <w:szCs w:val="24"/>
                <w:lang w:bidi="ar-AE"/>
              </w:rPr>
              <w:t>的合伙份额，对合营企业实施共同控制。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restart"/>
            <w:shd w:val="clear" w:color="auto" w:fill="D9D9D9"/>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r>
              <w:rPr>
                <w:rFonts w:hint="default" w:ascii="Times New Roman Regular" w:hAnsi="Times New Roman Regular" w:eastAsia="宋体" w:cs="Times New Roman Regular"/>
                <w:bCs/>
                <w:color w:val="000000"/>
                <w:kern w:val="0"/>
                <w:sz w:val="24"/>
                <w:szCs w:val="24"/>
                <w:lang w:val="en-GB" w:bidi="ar-AE"/>
              </w:rPr>
              <w:t>参与集中的经营者简介</w:t>
            </w:r>
          </w:p>
        </w:tc>
        <w:tc>
          <w:tcPr>
            <w:tcW w:w="1607" w:type="dxa"/>
            <w:vAlign w:val="center"/>
          </w:tcPr>
          <w:p>
            <w:pPr>
              <w:widowControl/>
              <w:adjustRightInd w:val="0"/>
              <w:snapToGrid w:val="0"/>
              <w:spacing w:before="0" w:beforeLines="-2147483648" w:after="0" w:afterLines="-2147483648" w:line="240" w:lineRule="auto"/>
              <w:rPr>
                <w:rFonts w:hint="default" w:ascii="Times New Roman Regular" w:hAnsi="Times New Roman Regular" w:eastAsia="宋体" w:cs="Times New Roman Regular"/>
                <w:bCs/>
                <w:color w:val="000000"/>
                <w:kern w:val="0"/>
                <w:sz w:val="24"/>
                <w:szCs w:val="24"/>
                <w:lang w:val="en-GB" w:eastAsia="zh-CN" w:bidi="ar-AE"/>
              </w:rPr>
            </w:pPr>
            <w:r>
              <w:rPr>
                <w:rFonts w:hint="default" w:ascii="Times New Roman Regular" w:hAnsi="Times New Roman Regular" w:eastAsia="宋体" w:cs="Times New Roman Regular"/>
                <w:bCs/>
                <w:color w:val="000000"/>
                <w:kern w:val="0"/>
                <w:sz w:val="24"/>
                <w:szCs w:val="24"/>
                <w:lang w:bidi="ar-AE"/>
              </w:rPr>
              <w:t>1.</w:t>
            </w:r>
            <w:r>
              <w:rPr>
                <w:rFonts w:hint="default" w:ascii="Times New Roman Regular" w:hAnsi="Times New Roman Regular" w:eastAsia="宋体" w:cs="Times New Roman Regular"/>
                <w:kern w:val="0"/>
                <w:sz w:val="24"/>
                <w:szCs w:val="24"/>
                <w:lang w:val="en-GB" w:eastAsia="en-GB" w:bidi="ar-AE"/>
              </w:rPr>
              <w:t xml:space="preserve"> </w:t>
            </w:r>
            <w:r>
              <w:rPr>
                <w:rFonts w:hint="default" w:ascii="Times New Roman Regular" w:hAnsi="Times New Roman Regular" w:eastAsia="宋体" w:cs="Times New Roman Regular"/>
                <w:bCs/>
                <w:color w:val="000000"/>
                <w:kern w:val="0"/>
                <w:sz w:val="24"/>
                <w:szCs w:val="24"/>
                <w:lang w:val="en-GB" w:eastAsia="zh-CN" w:bidi="ar-AE"/>
              </w:rPr>
              <w:t>山港基金</w:t>
            </w:r>
          </w:p>
        </w:tc>
        <w:tc>
          <w:tcPr>
            <w:tcW w:w="6093" w:type="dxa"/>
            <w:vAlign w:val="center"/>
          </w:tcPr>
          <w:p>
            <w:pPr>
              <w:widowControl/>
              <w:snapToGrid w:val="0"/>
              <w:spacing w:before="0" w:beforeLines="-2147483648" w:after="0" w:afterLines="-2147483648" w:line="240" w:lineRule="auto"/>
              <w:jc w:val="left"/>
              <w:rPr>
                <w:rFonts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lang w:eastAsia="zh-CN"/>
              </w:rPr>
              <w:t>山港基金</w:t>
            </w:r>
            <w:r>
              <w:rPr>
                <w:rFonts w:hint="default" w:ascii="Times New Roman Regular" w:hAnsi="Times New Roman Regular" w:eastAsia="宋体" w:cs="Times New Roman Regular"/>
                <w:sz w:val="24"/>
                <w:szCs w:val="24"/>
              </w:rPr>
              <w:t>于</w:t>
            </w:r>
            <w:r>
              <w:rPr>
                <w:rFonts w:ascii="Times New Roman Regular" w:hAnsi="Times New Roman Regular" w:eastAsia="宋体" w:cs="Times New Roman Regular"/>
                <w:sz w:val="24"/>
                <w:szCs w:val="24"/>
              </w:rPr>
              <w:t>201</w:t>
            </w:r>
            <w:r>
              <w:rPr>
                <w:rFonts w:hint="default" w:ascii="Times New Roman Regular" w:hAnsi="Times New Roman Regular" w:eastAsia="宋体" w:cs="Times New Roman Regular"/>
                <w:sz w:val="24"/>
                <w:szCs w:val="24"/>
                <w:lang w:val="en-US" w:eastAsia="zh-CN"/>
              </w:rPr>
              <w:t>6</w:t>
            </w:r>
            <w:r>
              <w:rPr>
                <w:rFonts w:ascii="Times New Roman Regular" w:hAnsi="Times New Roman Regular" w:eastAsia="宋体" w:cs="Times New Roman Regular"/>
                <w:sz w:val="24"/>
                <w:szCs w:val="24"/>
              </w:rPr>
              <w:t>年</w:t>
            </w:r>
            <w:r>
              <w:rPr>
                <w:rFonts w:hint="default" w:ascii="Times New Roman Regular" w:hAnsi="Times New Roman Regular" w:eastAsia="宋体" w:cs="Times New Roman Regular"/>
                <w:sz w:val="24"/>
                <w:szCs w:val="24"/>
                <w:lang w:val="en-US" w:eastAsia="zh-CN"/>
              </w:rPr>
              <w:t>9</w:t>
            </w:r>
            <w:r>
              <w:rPr>
                <w:rFonts w:ascii="Times New Roman Regular" w:hAnsi="Times New Roman Regular" w:eastAsia="宋体" w:cs="Times New Roman Regular"/>
                <w:sz w:val="24"/>
                <w:szCs w:val="24"/>
              </w:rPr>
              <w:t>月</w:t>
            </w:r>
            <w:r>
              <w:rPr>
                <w:rFonts w:hint="default" w:ascii="Times New Roman Regular" w:hAnsi="Times New Roman Regular" w:eastAsia="宋体" w:cs="Times New Roman Regular"/>
                <w:sz w:val="24"/>
                <w:szCs w:val="24"/>
                <w:lang w:val="en-US" w:eastAsia="zh-CN"/>
              </w:rPr>
              <w:t>2</w:t>
            </w:r>
            <w:r>
              <w:rPr>
                <w:rFonts w:ascii="Times New Roman Regular" w:hAnsi="Times New Roman Regular" w:eastAsia="宋体" w:cs="Times New Roman Regular"/>
                <w:sz w:val="24"/>
                <w:szCs w:val="24"/>
              </w:rPr>
              <w:t>6日成立于</w:t>
            </w:r>
            <w:r>
              <w:rPr>
                <w:rFonts w:hint="default" w:ascii="Times New Roman Regular" w:hAnsi="Times New Roman Regular" w:eastAsia="宋体" w:cs="Times New Roman Regular"/>
                <w:sz w:val="24"/>
                <w:szCs w:val="24"/>
                <w:lang w:val="en-US" w:eastAsia="zh-CN"/>
              </w:rPr>
              <w:t>山东省青岛市</w:t>
            </w:r>
            <w:r>
              <w:rPr>
                <w:rFonts w:ascii="Times New Roman Regular" w:hAnsi="Times New Roman Regular" w:eastAsia="宋体" w:cs="Times New Roman Regular"/>
                <w:sz w:val="24"/>
                <w:szCs w:val="24"/>
              </w:rPr>
              <w:t>，主要从事</w:t>
            </w:r>
            <w:r>
              <w:rPr>
                <w:rFonts w:hint="default" w:ascii="Times New Roman Regular" w:hAnsi="Times New Roman Regular" w:eastAsia="宋体" w:cs="Times New Roman Regular"/>
              </w:rPr>
              <w:t>私募基金管理及投资及咨询业务</w:t>
            </w:r>
            <w:r>
              <w:rPr>
                <w:rFonts w:hint="default" w:ascii="Times New Roman Regular" w:hAnsi="Times New Roman Regular" w:eastAsia="宋体" w:cs="Times New Roman Regular"/>
                <w:lang w:eastAsia="zh-CN"/>
              </w:rPr>
              <w:t>。</w:t>
            </w:r>
          </w:p>
          <w:p>
            <w:pPr>
              <w:widowControl/>
              <w:snapToGrid w:val="0"/>
              <w:spacing w:before="0" w:beforeLines="-2147483648" w:after="0" w:afterLines="-2147483648" w:line="240" w:lineRule="auto"/>
              <w:jc w:val="left"/>
              <w:rPr>
                <w:rFonts w:hint="default" w:ascii="Times New Roman Regular" w:hAnsi="Times New Roman Regular" w:eastAsia="宋体" w:cs="Times New Roman Regular"/>
                <w:sz w:val="24"/>
                <w:szCs w:val="24"/>
                <w:lang w:eastAsia="zh-CN"/>
              </w:rPr>
            </w:pPr>
            <w:r>
              <w:rPr>
                <w:rFonts w:hint="default" w:ascii="Times New Roman Regular" w:hAnsi="Times New Roman Regular" w:eastAsia="宋体" w:cs="Times New Roman Regular"/>
                <w:sz w:val="24"/>
                <w:szCs w:val="24"/>
                <w:lang w:eastAsia="zh-CN"/>
              </w:rPr>
              <w:t>山港基金</w:t>
            </w:r>
            <w:r>
              <w:rPr>
                <w:rFonts w:hint="default" w:ascii="Times New Roman Regular" w:hAnsi="Times New Roman Regular" w:eastAsia="宋体" w:cs="Times New Roman Regular"/>
                <w:sz w:val="24"/>
                <w:szCs w:val="24"/>
              </w:rPr>
              <w:t>最终控制人为</w:t>
            </w:r>
            <w:r>
              <w:rPr>
                <w:rFonts w:hint="default" w:ascii="Times New Roman Regular" w:hAnsi="Times New Roman Regular" w:eastAsia="宋体" w:cs="Times New Roman Regular"/>
                <w:sz w:val="24"/>
                <w:szCs w:val="24"/>
                <w:lang w:val="en-US" w:eastAsia="zh-CN"/>
              </w:rPr>
              <w:t>山东港口集团有限公司</w:t>
            </w:r>
            <w:r>
              <w:rPr>
                <w:rFonts w:hint="default" w:ascii="Times New Roman Regular" w:hAnsi="Times New Roman Regular" w:eastAsia="宋体" w:cs="Times New Roman Regular"/>
                <w:sz w:val="24"/>
                <w:szCs w:val="24"/>
              </w:rPr>
              <w:t>，</w:t>
            </w:r>
            <w:r>
              <w:rPr>
                <w:rFonts w:hint="eastAsia" w:ascii="Times New Roman Regular" w:hAnsi="Times New Roman Regular" w:cs="Times New Roman Regular"/>
                <w:sz w:val="24"/>
                <w:szCs w:val="24"/>
                <w:lang w:val="en-US" w:eastAsia="zh-CN"/>
              </w:rPr>
              <w:t>为</w:t>
            </w:r>
            <w:r>
              <w:rPr>
                <w:rFonts w:hint="eastAsia" w:ascii="Times New Roman Regular" w:hAnsi="Times New Roman Regular" w:cs="Times New Roman Regular"/>
              </w:rPr>
              <w:t>山东省人民政府国有资产监督管理委员会</w:t>
            </w:r>
            <w:r>
              <w:rPr>
                <w:rFonts w:hint="eastAsia" w:ascii="Times New Roman Regular" w:hAnsi="Times New Roman Regular" w:cs="Times New Roman Regular"/>
                <w:sz w:val="24"/>
                <w:szCs w:val="24"/>
                <w:lang w:val="en-US" w:eastAsia="zh-CN"/>
              </w:rPr>
              <w:t>下属企业，</w:t>
            </w:r>
            <w:r>
              <w:rPr>
                <w:rFonts w:hint="default" w:ascii="Times New Roman Regular" w:hAnsi="Times New Roman Regular" w:eastAsia="宋体" w:cs="Times New Roman Regular"/>
                <w:sz w:val="24"/>
                <w:szCs w:val="24"/>
              </w:rPr>
              <w:t>主要从事</w:t>
            </w:r>
            <w:r>
              <w:rPr>
                <w:rFonts w:hint="default" w:ascii="Times New Roman Regular" w:hAnsi="Times New Roman Regular" w:eastAsia="宋体" w:cs="Times New Roman Regular"/>
              </w:rPr>
              <w:t>投控、港湾建设、物流、航运、邮轮文旅、装备、贸易、科技、海外发展、职教、医养、服务发展等业务</w:t>
            </w:r>
            <w:r>
              <w:rPr>
                <w:rFonts w:hint="default" w:ascii="Times New Roman Regular" w:hAnsi="Times New Roman Regular" w:eastAsia="宋体" w:cs="Times New Roman Regular"/>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p>
        </w:tc>
        <w:tc>
          <w:tcPr>
            <w:tcW w:w="1607" w:type="dxa"/>
            <w:vAlign w:val="center"/>
          </w:tcPr>
          <w:p>
            <w:pPr>
              <w:widowControl/>
              <w:adjustRightInd w:val="0"/>
              <w:snapToGrid w:val="0"/>
              <w:spacing w:before="0" w:beforeLines="-2147483648" w:after="0" w:afterLines="-2147483648" w:line="240" w:lineRule="auto"/>
              <w:rPr>
                <w:rFonts w:hint="default" w:ascii="Times New Roman Regular" w:hAnsi="Times New Roman Regular" w:eastAsia="宋体" w:cs="Times New Roman Regular"/>
                <w:bCs/>
                <w:color w:val="000000"/>
                <w:kern w:val="0"/>
                <w:sz w:val="24"/>
                <w:szCs w:val="24"/>
                <w:lang w:eastAsia="zh-CN" w:bidi="ar-AE"/>
              </w:rPr>
            </w:pPr>
            <w:r>
              <w:rPr>
                <w:rFonts w:ascii="Times New Roman Regular" w:hAnsi="Times New Roman Regular" w:eastAsia="宋体" w:cs="Times New Roman Regular"/>
                <w:bCs/>
                <w:color w:val="000000"/>
                <w:kern w:val="0"/>
                <w:sz w:val="24"/>
                <w:szCs w:val="24"/>
                <w:lang w:bidi="ar-AE"/>
              </w:rPr>
              <w:t>2</w:t>
            </w:r>
            <w:r>
              <w:rPr>
                <w:rFonts w:hint="default" w:ascii="Times New Roman Regular" w:hAnsi="Times New Roman Regular" w:eastAsia="宋体" w:cs="Times New Roman Regular"/>
                <w:bCs/>
                <w:color w:val="000000"/>
                <w:kern w:val="0"/>
                <w:sz w:val="24"/>
                <w:szCs w:val="24"/>
                <w:lang w:bidi="ar-AE"/>
              </w:rPr>
              <w:t xml:space="preserve">. </w:t>
            </w:r>
            <w:r>
              <w:rPr>
                <w:rFonts w:hint="default" w:ascii="Times New Roman Regular" w:hAnsi="Times New Roman Regular" w:eastAsia="宋体" w:cs="Times New Roman Regular"/>
                <w:kern w:val="0"/>
                <w:sz w:val="24"/>
                <w:szCs w:val="24"/>
                <w:lang w:eastAsia="zh-CN" w:bidi="ar-AE"/>
              </w:rPr>
              <w:t>山东东财</w:t>
            </w:r>
          </w:p>
        </w:tc>
        <w:tc>
          <w:tcPr>
            <w:tcW w:w="6093" w:type="dxa"/>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r>
              <w:rPr>
                <w:rFonts w:hint="default" w:ascii="Times New Roman Regular" w:hAnsi="Times New Roman Regular" w:eastAsia="宋体" w:cs="Times New Roman Regular"/>
                <w:kern w:val="0"/>
                <w:sz w:val="24"/>
                <w:szCs w:val="24"/>
                <w:lang w:eastAsia="zh-CN" w:bidi="ar-AE"/>
              </w:rPr>
              <w:t>山东东财</w:t>
            </w:r>
            <w:r>
              <w:rPr>
                <w:rFonts w:hint="default" w:ascii="Times New Roman Regular" w:hAnsi="Times New Roman Regular" w:eastAsia="宋体" w:cs="Times New Roman Regular"/>
                <w:kern w:val="0"/>
                <w:sz w:val="24"/>
                <w:szCs w:val="24"/>
                <w:lang w:bidi="ar-AE"/>
              </w:rPr>
              <w:t>于</w:t>
            </w:r>
            <w:r>
              <w:rPr>
                <w:rFonts w:ascii="Times New Roman Regular" w:hAnsi="Times New Roman Regular" w:eastAsia="宋体" w:cs="Times New Roman Regular"/>
                <w:kern w:val="0"/>
                <w:sz w:val="24"/>
                <w:szCs w:val="24"/>
                <w:lang w:bidi="ar-AE"/>
              </w:rPr>
              <w:t>20</w:t>
            </w:r>
            <w:r>
              <w:rPr>
                <w:rFonts w:hint="default" w:ascii="Times New Roman Regular" w:hAnsi="Times New Roman Regular" w:eastAsia="宋体" w:cs="Times New Roman Regular"/>
                <w:kern w:val="0"/>
                <w:sz w:val="24"/>
                <w:szCs w:val="24"/>
                <w:lang w:val="en-US" w:eastAsia="zh-CN" w:bidi="ar-AE"/>
              </w:rPr>
              <w:t>01</w:t>
            </w:r>
            <w:r>
              <w:rPr>
                <w:rFonts w:hint="default" w:ascii="Times New Roman Regular" w:hAnsi="Times New Roman Regular" w:eastAsia="宋体" w:cs="Times New Roman Regular"/>
                <w:kern w:val="0"/>
                <w:sz w:val="24"/>
                <w:szCs w:val="24"/>
                <w:lang w:bidi="ar-AE"/>
              </w:rPr>
              <w:t>年</w:t>
            </w:r>
            <w:r>
              <w:rPr>
                <w:rFonts w:hint="default" w:ascii="Times New Roman Regular" w:hAnsi="Times New Roman Regular" w:eastAsia="宋体" w:cs="Times New Roman Regular"/>
                <w:kern w:val="0"/>
                <w:sz w:val="24"/>
                <w:szCs w:val="24"/>
                <w:lang w:val="en-US" w:eastAsia="zh-CN" w:bidi="ar-AE"/>
              </w:rPr>
              <w:t>9</w:t>
            </w:r>
            <w:r>
              <w:rPr>
                <w:rFonts w:hint="default" w:ascii="Times New Roman Regular" w:hAnsi="Times New Roman Regular" w:eastAsia="宋体" w:cs="Times New Roman Regular"/>
                <w:kern w:val="0"/>
                <w:sz w:val="24"/>
                <w:szCs w:val="24"/>
                <w:lang w:bidi="ar-AE"/>
              </w:rPr>
              <w:t>月</w:t>
            </w:r>
            <w:r>
              <w:rPr>
                <w:rFonts w:hint="default" w:ascii="Times New Roman Regular" w:hAnsi="Times New Roman Regular" w:eastAsia="宋体" w:cs="Times New Roman Regular"/>
                <w:kern w:val="0"/>
                <w:sz w:val="24"/>
                <w:szCs w:val="24"/>
                <w:lang w:val="en-US" w:eastAsia="zh-CN" w:bidi="ar-AE"/>
              </w:rPr>
              <w:t>6</w:t>
            </w:r>
            <w:r>
              <w:rPr>
                <w:rFonts w:hint="default" w:ascii="Times New Roman Regular" w:hAnsi="Times New Roman Regular" w:eastAsia="宋体" w:cs="Times New Roman Regular"/>
                <w:kern w:val="0"/>
                <w:sz w:val="24"/>
                <w:szCs w:val="24"/>
                <w:lang w:bidi="ar-AE"/>
              </w:rPr>
              <w:t>日</w:t>
            </w:r>
            <w:r>
              <w:rPr>
                <w:rFonts w:hint="default" w:ascii="Times New Roman Regular" w:hAnsi="Times New Roman Regular" w:eastAsia="宋体" w:cs="Times New Roman Regular"/>
                <w:bCs/>
                <w:color w:val="000000"/>
                <w:kern w:val="0"/>
                <w:sz w:val="24"/>
                <w:szCs w:val="24"/>
                <w:lang w:bidi="ar-AE"/>
              </w:rPr>
              <w:t>成立于山东省</w:t>
            </w:r>
            <w:r>
              <w:rPr>
                <w:rFonts w:hint="default" w:ascii="Times New Roman Regular" w:hAnsi="Times New Roman Regular" w:eastAsia="宋体" w:cs="Times New Roman Regular"/>
                <w:bCs/>
                <w:color w:val="000000"/>
                <w:kern w:val="0"/>
                <w:sz w:val="24"/>
                <w:szCs w:val="24"/>
                <w:lang w:val="en-US" w:eastAsia="zh-CN" w:bidi="ar-AE"/>
              </w:rPr>
              <w:t>聊城市</w:t>
            </w:r>
            <w:r>
              <w:rPr>
                <w:rFonts w:hint="default" w:ascii="Times New Roman Regular" w:hAnsi="Times New Roman Regular" w:eastAsia="宋体" w:cs="Times New Roman Regular"/>
                <w:bCs/>
                <w:color w:val="000000"/>
                <w:kern w:val="0"/>
                <w:sz w:val="24"/>
                <w:szCs w:val="24"/>
                <w:lang w:bidi="ar-AE"/>
              </w:rPr>
              <w:t>，主要从事</w:t>
            </w:r>
            <w:r>
              <w:rPr>
                <w:rFonts w:hint="default" w:ascii="Times New Roman Regular" w:hAnsi="Times New Roman Regular" w:eastAsia="宋体" w:cs="Times New Roman Regular"/>
                <w:bCs/>
                <w:color w:val="000000"/>
                <w:kern w:val="0"/>
                <w:sz w:val="24"/>
                <w:szCs w:val="24"/>
                <w:lang w:val="en-US" w:eastAsia="zh-CN" w:bidi="ar-AE"/>
              </w:rPr>
              <w:t>资</w:t>
            </w:r>
            <w:r>
              <w:rPr>
                <w:rFonts w:hint="default" w:ascii="Times New Roman Regular" w:hAnsi="Times New Roman Regular" w:eastAsia="宋体" w:cs="Times New Roman Regular"/>
                <w:bCs/>
                <w:color w:val="000000"/>
                <w:kern w:val="0"/>
                <w:lang w:bidi="ar-AE"/>
              </w:rPr>
              <w:t>产管理及资本运营、基础设施的开发和建设、土地开发利用等活动</w:t>
            </w:r>
            <w:r>
              <w:rPr>
                <w:rFonts w:hint="default" w:ascii="Times New Roman Regular" w:hAnsi="Times New Roman Regular" w:eastAsia="宋体" w:cs="Times New Roman Regular"/>
                <w:bCs/>
                <w:color w:val="000000"/>
                <w:kern w:val="0"/>
                <w:lang w:eastAsia="zh-CN" w:bidi="ar-AE"/>
              </w:rPr>
              <w:t>。</w:t>
            </w:r>
          </w:p>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r>
              <w:rPr>
                <w:rFonts w:hint="default" w:ascii="Times New Roman Regular" w:hAnsi="Times New Roman Regular" w:eastAsia="宋体" w:cs="Times New Roman Regular"/>
                <w:kern w:val="0"/>
                <w:sz w:val="24"/>
                <w:szCs w:val="24"/>
                <w:lang w:eastAsia="zh-CN" w:bidi="ar-AE"/>
              </w:rPr>
              <w:t>山东东财</w:t>
            </w:r>
            <w:r>
              <w:rPr>
                <w:rFonts w:hint="default" w:ascii="Times New Roman Regular" w:hAnsi="Times New Roman Regular" w:eastAsia="宋体" w:cs="Times New Roman Regular"/>
                <w:bCs/>
                <w:color w:val="000000"/>
                <w:kern w:val="0"/>
                <w:sz w:val="24"/>
                <w:szCs w:val="24"/>
                <w:lang w:bidi="ar-AE"/>
              </w:rPr>
              <w:t>为</w:t>
            </w:r>
            <w:r>
              <w:rPr>
                <w:rFonts w:hint="eastAsia" w:ascii="Times New Roman Regular" w:hAnsi="Times New Roman Regular" w:cs="Times New Roman Regular"/>
                <w:bCs/>
                <w:color w:val="000000"/>
                <w:kern w:val="0"/>
                <w:sz w:val="24"/>
                <w:szCs w:val="24"/>
                <w:lang w:val="en-US" w:eastAsia="zh-CN" w:bidi="ar-AE"/>
              </w:rPr>
              <w:t>东</w:t>
            </w:r>
            <w:r>
              <w:rPr>
                <w:rFonts w:hint="default" w:ascii="Times New Roman Regular" w:hAnsi="Times New Roman Regular" w:eastAsia="宋体" w:cs="Times New Roman Regular"/>
                <w:bCs/>
                <w:color w:val="000000"/>
                <w:kern w:val="0"/>
                <w:lang w:bidi="ar-AE"/>
              </w:rPr>
              <w:t>阿县财政局（东阿县国有资产监督管理局）</w:t>
            </w:r>
            <w:r>
              <w:rPr>
                <w:rFonts w:hint="eastAsia" w:ascii="Times New Roman Regular" w:hAnsi="Times New Roman Regular" w:cs="Times New Roman Regular"/>
                <w:bCs/>
                <w:color w:val="000000"/>
                <w:kern w:val="0"/>
                <w:lang w:val="en-US" w:eastAsia="zh-CN" w:bidi="ar-AE"/>
              </w:rPr>
              <w:t>下属企业</w:t>
            </w:r>
            <w:r>
              <w:rPr>
                <w:rFonts w:hint="default" w:ascii="Times New Roman Regular" w:hAnsi="Times New Roman Regular" w:eastAsia="宋体" w:cs="Times New Roman Regular"/>
                <w:bCs/>
                <w:color w:val="000000"/>
                <w:kern w:val="0"/>
                <w:sz w:val="24"/>
                <w:szCs w:val="24"/>
                <w:lang w:bidi="ar-A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p>
        </w:tc>
        <w:tc>
          <w:tcPr>
            <w:tcW w:w="1607" w:type="dxa"/>
            <w:vAlign w:val="center"/>
          </w:tcPr>
          <w:p>
            <w:pPr>
              <w:widowControl/>
              <w:numPr>
                <w:ilvl w:val="0"/>
                <w:numId w:val="1"/>
              </w:numPr>
              <w:adjustRightInd w:val="0"/>
              <w:snapToGrid w:val="0"/>
              <w:spacing w:before="0" w:beforeLines="-2147483648" w:after="0" w:afterLines="-2147483648" w:line="240" w:lineRule="auto"/>
              <w:rPr>
                <w:rFonts w:hint="default" w:ascii="Times New Roman Regular" w:hAnsi="Times New Roman Regular" w:eastAsia="宋体" w:cs="Times New Roman Regular"/>
                <w:bCs/>
                <w:color w:val="000000"/>
                <w:kern w:val="0"/>
                <w:sz w:val="24"/>
                <w:szCs w:val="24"/>
                <w:lang w:val="en-US" w:eastAsia="zh-CN" w:bidi="ar-AE"/>
              </w:rPr>
            </w:pPr>
            <w:r>
              <w:rPr>
                <w:rFonts w:hint="default" w:ascii="Times New Roman Regular" w:hAnsi="Times New Roman Regular" w:eastAsia="宋体" w:cs="Times New Roman Regular"/>
                <w:bCs/>
                <w:color w:val="000000"/>
                <w:kern w:val="0"/>
                <w:lang w:val="en-US" w:eastAsia="zh-CN" w:bidi="ar-AE"/>
              </w:rPr>
              <w:t>聊城财</w:t>
            </w:r>
            <w:r>
              <w:rPr>
                <w:rFonts w:hint="default" w:ascii="Times New Roman Regular" w:hAnsi="Times New Roman Regular" w:eastAsia="宋体" w:cs="Times New Roman Regular"/>
                <w:bCs/>
                <w:color w:val="000000"/>
                <w:kern w:val="0"/>
                <w:lang w:bidi="ar-AE"/>
              </w:rPr>
              <w:t>信</w:t>
            </w:r>
          </w:p>
        </w:tc>
        <w:tc>
          <w:tcPr>
            <w:tcW w:w="6093" w:type="dxa"/>
            <w:vAlign w:val="center"/>
          </w:tcPr>
          <w:p>
            <w:pPr>
              <w:widowControl/>
              <w:adjustRightInd w:val="0"/>
              <w:snapToGrid w:val="0"/>
              <w:spacing w:before="0" w:beforeLines="-2147483648" w:after="0" w:afterLines="-2147483648" w:line="240" w:lineRule="auto"/>
              <w:rPr>
                <w:rFonts w:hint="default" w:ascii="Times New Roman Regular" w:hAnsi="Times New Roman Regular" w:eastAsia="宋体" w:cs="Times New Roman Regular"/>
                <w:kern w:val="0"/>
                <w:szCs w:val="24"/>
                <w:lang w:bidi="ar-AE"/>
              </w:rPr>
            </w:pPr>
            <w:r>
              <w:rPr>
                <w:rFonts w:hint="default" w:ascii="Times New Roman Regular" w:hAnsi="Times New Roman Regular" w:eastAsia="宋体" w:cs="Times New Roman Regular"/>
                <w:kern w:val="0"/>
                <w:sz w:val="24"/>
                <w:szCs w:val="24"/>
                <w:lang w:val="en-US" w:eastAsia="zh-CN" w:bidi="ar-AE"/>
              </w:rPr>
              <w:t>聊城财信于2019年6月21日成立于山东省聊城市，</w:t>
            </w:r>
            <w:r>
              <w:rPr>
                <w:rFonts w:hint="default" w:ascii="Times New Roman Regular" w:hAnsi="Times New Roman Regular" w:eastAsia="宋体" w:cs="Times New Roman Regular"/>
                <w:kern w:val="0"/>
                <w:szCs w:val="24"/>
                <w:lang w:bidi="ar-AE"/>
              </w:rPr>
              <w:t>主要从事受托管理聊城市部分</w:t>
            </w:r>
            <w:r>
              <w:rPr>
                <w:rFonts w:hint="default" w:ascii="Times New Roman Regular" w:hAnsi="Times New Roman Regular" w:eastAsia="宋体" w:cs="Times New Roman Regular"/>
                <w:kern w:val="0"/>
                <w:szCs w:val="24"/>
                <w:lang w:val="en-US" w:eastAsia="zh-CN" w:bidi="ar-AE"/>
              </w:rPr>
              <w:t>资产</w:t>
            </w:r>
            <w:r>
              <w:rPr>
                <w:rFonts w:hint="default" w:ascii="Times New Roman Regular" w:hAnsi="Times New Roman Regular" w:eastAsia="宋体" w:cs="Times New Roman Regular"/>
                <w:kern w:val="0"/>
                <w:szCs w:val="24"/>
                <w:lang w:bidi="ar-AE"/>
              </w:rPr>
              <w:t>的投资和运营。</w:t>
            </w:r>
          </w:p>
          <w:p>
            <w:pPr>
              <w:widowControl/>
              <w:adjustRightInd w:val="0"/>
              <w:snapToGrid w:val="0"/>
              <w:spacing w:before="0" w:beforeLines="-2147483648" w:after="0" w:afterLines="-2147483648" w:line="240" w:lineRule="auto"/>
              <w:rPr>
                <w:rFonts w:hint="default" w:ascii="Times New Roman Regular" w:hAnsi="Times New Roman Regular" w:eastAsia="宋体" w:cs="Times New Roman Regular"/>
                <w:kern w:val="0"/>
                <w:sz w:val="24"/>
                <w:szCs w:val="24"/>
                <w:lang w:val="en-US" w:eastAsia="zh-CN" w:bidi="ar-AE"/>
              </w:rPr>
            </w:pPr>
            <w:r>
              <w:rPr>
                <w:rFonts w:hint="eastAsia" w:ascii="Times New Roman Regular" w:hAnsi="Times New Roman Regular" w:eastAsia="宋体" w:cs="Times New Roman Regular"/>
                <w:kern w:val="0"/>
                <w:szCs w:val="24"/>
                <w:lang w:val="en-US" w:eastAsia="zh-CN" w:bidi="ar-AE"/>
              </w:rPr>
              <w:t>聊城财信的最终控制</w:t>
            </w:r>
            <w:r>
              <w:rPr>
                <w:rFonts w:hint="eastAsia" w:ascii="Times New Roman Regular" w:hAnsi="Times New Roman Regular" w:cs="Times New Roman Regular"/>
                <w:kern w:val="0"/>
                <w:szCs w:val="24"/>
                <w:lang w:val="en-US" w:eastAsia="zh-CN" w:bidi="ar-AE"/>
              </w:rPr>
              <w:t>人</w:t>
            </w:r>
            <w:r>
              <w:rPr>
                <w:rFonts w:hint="eastAsia" w:ascii="Times New Roman Regular" w:hAnsi="Times New Roman Regular" w:eastAsia="宋体" w:cs="Times New Roman Regular"/>
                <w:kern w:val="0"/>
                <w:szCs w:val="24"/>
                <w:lang w:val="en-US" w:eastAsia="zh-CN" w:bidi="ar-AE"/>
              </w:rPr>
              <w:t>为聊城财信投资控股集团有限公司，</w:t>
            </w:r>
            <w:r>
              <w:rPr>
                <w:rFonts w:hint="eastAsia" w:ascii="Times New Roman Regular" w:hAnsi="Times New Roman Regular" w:cs="Times New Roman Regular"/>
                <w:kern w:val="0"/>
                <w:szCs w:val="24"/>
                <w:lang w:val="en-US" w:eastAsia="zh-CN" w:bidi="ar-AE"/>
              </w:rPr>
              <w:t>主</w:t>
            </w:r>
            <w:r>
              <w:rPr>
                <w:rFonts w:hint="eastAsia" w:ascii="Times New Roman Regular" w:hAnsi="Times New Roman Regular" w:eastAsia="宋体" w:cs="Times New Roman Regular"/>
                <w:kern w:val="0"/>
                <w:lang w:bidi="ar-AE"/>
              </w:rPr>
              <w:t>要从事政府战略项目投资与管理、基础设施建设与房地产开发和类金融服务业务。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D9D9D9"/>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r>
              <w:rPr>
                <w:rFonts w:hint="default" w:ascii="Times New Roman Regular" w:hAnsi="Times New Roman Regular" w:eastAsia="宋体" w:cs="Times New Roman Regular"/>
                <w:bCs/>
                <w:color w:val="000000"/>
                <w:kern w:val="0"/>
                <w:sz w:val="24"/>
                <w:szCs w:val="24"/>
                <w:lang w:val="en-GB" w:bidi="ar-AE"/>
              </w:rPr>
              <w:t>简易案件理由</w:t>
            </w:r>
          </w:p>
        </w:tc>
        <w:tc>
          <w:tcPr>
            <w:tcW w:w="7700" w:type="dxa"/>
            <w:gridSpan w:val="2"/>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r>
              <w:rPr>
                <w:rFonts w:hint="default" w:ascii="Times New Roman Regular" w:hAnsi="Times New Roman Regular" w:eastAsia="宋体" w:cs="Times New Roman Regular"/>
                <w:bCs/>
                <w:color w:val="000000"/>
                <w:kern w:val="0"/>
                <w:sz w:val="24"/>
                <w:szCs w:val="24"/>
                <w:lang w:val="en-GB" w:bidi="ar-AE"/>
              </w:rPr>
              <w:sym w:font="Wingdings" w:char="00A8"/>
            </w:r>
            <w:r>
              <w:rPr>
                <w:rFonts w:hint="default" w:ascii="Times New Roman Regular" w:hAnsi="Times New Roman Regular" w:eastAsia="宋体" w:cs="Times New Roman Regular"/>
                <w:bCs/>
                <w:color w:val="000000"/>
                <w:kern w:val="0"/>
                <w:sz w:val="24"/>
                <w:szCs w:val="24"/>
                <w:lang w:val="en-GB" w:bidi="ar-AE"/>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D9D9D9"/>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p>
        </w:tc>
        <w:tc>
          <w:tcPr>
            <w:tcW w:w="7700" w:type="dxa"/>
            <w:gridSpan w:val="2"/>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r>
              <w:rPr>
                <w:rFonts w:hint="default" w:ascii="Times New Roman Regular" w:hAnsi="Times New Roman Regular" w:eastAsia="宋体" w:cs="Times New Roman Regular"/>
                <w:bCs/>
                <w:color w:val="000000"/>
                <w:kern w:val="0"/>
                <w:sz w:val="24"/>
                <w:szCs w:val="24"/>
                <w:lang w:val="en-GB" w:bidi="ar-AE"/>
              </w:rPr>
              <w:sym w:font="Wingdings" w:char="00A8"/>
            </w:r>
            <w:r>
              <w:rPr>
                <w:rFonts w:hint="default" w:ascii="Times New Roman Regular" w:hAnsi="Times New Roman Regular" w:eastAsia="宋体" w:cs="Times New Roman Regular"/>
                <w:bCs/>
                <w:color w:val="000000"/>
                <w:kern w:val="0"/>
                <w:sz w:val="24"/>
                <w:szCs w:val="24"/>
                <w:lang w:val="en-GB" w:bidi="ar-AE"/>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D9D9D9"/>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p>
        </w:tc>
        <w:tc>
          <w:tcPr>
            <w:tcW w:w="7700" w:type="dxa"/>
            <w:gridSpan w:val="2"/>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r>
              <w:rPr>
                <w:rFonts w:hint="default" w:ascii="Times New Roman Regular" w:hAnsi="Times New Roman Regular" w:eastAsia="宋体" w:cs="Times New Roman Regular"/>
                <w:bCs/>
                <w:color w:val="000000"/>
                <w:kern w:val="0"/>
                <w:sz w:val="24"/>
                <w:szCs w:val="24"/>
                <w:lang w:val="en-GB" w:bidi="ar-AE"/>
              </w:rPr>
              <w:sym w:font="Wingdings" w:char="00FE"/>
            </w:r>
            <w:r>
              <w:rPr>
                <w:rFonts w:hint="default" w:ascii="Times New Roman Regular" w:hAnsi="Times New Roman Regular" w:eastAsia="宋体" w:cs="Times New Roman Regular"/>
                <w:bCs/>
                <w:color w:val="000000"/>
                <w:kern w:val="0"/>
                <w:sz w:val="24"/>
                <w:szCs w:val="24"/>
                <w:lang w:val="en-GB" w:bidi="ar-AE"/>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940" w:type="dxa"/>
            <w:vMerge w:val="continue"/>
            <w:shd w:val="clear" w:color="auto" w:fill="D9D9D9"/>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p>
        </w:tc>
        <w:tc>
          <w:tcPr>
            <w:tcW w:w="7700" w:type="dxa"/>
            <w:gridSpan w:val="2"/>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r>
              <w:rPr>
                <w:rFonts w:hint="default" w:ascii="Times New Roman Regular" w:hAnsi="Times New Roman Regular" w:eastAsia="宋体" w:cs="Times New Roman Regular"/>
                <w:bCs/>
                <w:color w:val="000000"/>
                <w:kern w:val="0"/>
                <w:sz w:val="24"/>
                <w:szCs w:val="24"/>
                <w:lang w:val="en-GB" w:bidi="ar-AE"/>
              </w:rPr>
              <w:sym w:font="Wingdings" w:char="00A8"/>
            </w:r>
            <w:r>
              <w:rPr>
                <w:rFonts w:hint="default" w:ascii="Times New Roman Regular" w:hAnsi="Times New Roman Regular" w:eastAsia="宋体" w:cs="Times New Roman Regular"/>
                <w:bCs/>
                <w:color w:val="000000"/>
                <w:kern w:val="0"/>
                <w:sz w:val="24"/>
                <w:szCs w:val="24"/>
                <w:lang w:val="en-GB" w:bidi="ar-AE"/>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D9D9D9"/>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p>
        </w:tc>
        <w:tc>
          <w:tcPr>
            <w:tcW w:w="7700" w:type="dxa"/>
            <w:gridSpan w:val="2"/>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r>
              <w:rPr>
                <w:rFonts w:hint="default" w:ascii="Times New Roman Regular" w:hAnsi="Times New Roman Regular" w:eastAsia="宋体" w:cs="Times New Roman Regular"/>
                <w:bCs/>
                <w:color w:val="000000"/>
                <w:kern w:val="0"/>
                <w:sz w:val="24"/>
                <w:szCs w:val="24"/>
                <w:lang w:val="en-GB" w:bidi="ar-AE"/>
              </w:rPr>
              <w:sym w:font="Wingdings" w:char="00A8"/>
            </w:r>
            <w:r>
              <w:rPr>
                <w:rFonts w:hint="default" w:ascii="Times New Roman Regular" w:hAnsi="Times New Roman Regular" w:eastAsia="宋体" w:cs="Times New Roman Regular"/>
                <w:bCs/>
                <w:color w:val="000000"/>
                <w:kern w:val="0"/>
                <w:sz w:val="24"/>
                <w:szCs w:val="24"/>
                <w:lang w:val="en-GB" w:bidi="ar-AE"/>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D9D9D9"/>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p>
        </w:tc>
        <w:tc>
          <w:tcPr>
            <w:tcW w:w="7700" w:type="dxa"/>
            <w:gridSpan w:val="2"/>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r>
              <w:rPr>
                <w:rFonts w:hint="default" w:ascii="Times New Roman Regular" w:hAnsi="Times New Roman Regular" w:eastAsia="宋体" w:cs="Times New Roman Regular"/>
                <w:bCs/>
                <w:color w:val="000000"/>
                <w:kern w:val="0"/>
                <w:sz w:val="24"/>
                <w:szCs w:val="24"/>
                <w:lang w:val="en-GB" w:bidi="ar-AE"/>
              </w:rPr>
              <w:sym w:font="Wingdings" w:char="00A8"/>
            </w:r>
            <w:r>
              <w:rPr>
                <w:rFonts w:hint="default" w:ascii="Times New Roman Regular" w:hAnsi="Times New Roman Regular" w:eastAsia="宋体" w:cs="Times New Roman Regular"/>
                <w:bCs/>
                <w:color w:val="000000"/>
                <w:kern w:val="0"/>
                <w:sz w:val="24"/>
                <w:szCs w:val="24"/>
                <w:lang w:val="en-GB" w:bidi="ar-AE"/>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1940" w:type="dxa"/>
            <w:shd w:val="clear" w:color="auto" w:fill="D9D9D9"/>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r>
              <w:rPr>
                <w:rFonts w:hint="default" w:ascii="Times New Roman Regular" w:hAnsi="Times New Roman Regular" w:eastAsia="宋体" w:cs="Times New Roman Regular"/>
                <w:bCs/>
                <w:color w:val="000000"/>
                <w:kern w:val="0"/>
                <w:sz w:val="24"/>
                <w:szCs w:val="24"/>
                <w:lang w:bidi="ar-AE"/>
              </w:rPr>
              <w:t>备注</w:t>
            </w:r>
          </w:p>
        </w:tc>
        <w:tc>
          <w:tcPr>
            <w:tcW w:w="7700" w:type="dxa"/>
            <w:gridSpan w:val="2"/>
            <w:vAlign w:val="center"/>
          </w:tcPr>
          <w:p>
            <w:pPr>
              <w:widowControl/>
              <w:adjustRightInd w:val="0"/>
              <w:snapToGrid w:val="0"/>
              <w:spacing w:before="0" w:beforeLines="-2147483648" w:after="0" w:afterLines="-2147483648" w:line="240" w:lineRule="auto"/>
              <w:rPr>
                <w:rFonts w:ascii="Times New Roman Regular" w:hAnsi="Times New Roman Regular" w:eastAsia="宋体" w:cs="Times New Roman Regular"/>
                <w:b/>
                <w:color w:val="000000"/>
                <w:kern w:val="0"/>
                <w:sz w:val="24"/>
                <w:szCs w:val="24"/>
                <w:lang w:val="en-GB" w:bidi="ar-AE"/>
              </w:rPr>
            </w:pPr>
            <w:r>
              <w:rPr>
                <w:rFonts w:hint="eastAsia" w:ascii="Times New Roman Regular" w:hAnsi="Times New Roman Regular" w:cs="Times New Roman Regular"/>
                <w:b/>
                <w:color w:val="000000"/>
                <w:kern w:val="0"/>
                <w:sz w:val="24"/>
                <w:szCs w:val="24"/>
                <w:lang w:val="en-US" w:eastAsia="zh-CN" w:bidi="ar-AE"/>
              </w:rPr>
              <w:t>混合集中</w:t>
            </w:r>
            <w:r>
              <w:rPr>
                <w:rFonts w:hint="default" w:ascii="Times New Roman Regular" w:hAnsi="Times New Roman Regular" w:eastAsia="宋体" w:cs="Times New Roman Regular"/>
                <w:b/>
                <w:color w:val="000000"/>
                <w:kern w:val="0"/>
                <w:sz w:val="24"/>
                <w:szCs w:val="24"/>
                <w:lang w:val="en-GB" w:bidi="ar-AE"/>
              </w:rPr>
              <w:t>：</w:t>
            </w:r>
          </w:p>
          <w:p>
            <w:pPr>
              <w:widowControl/>
              <w:adjustRightInd w:val="0"/>
              <w:snapToGrid w:val="0"/>
              <w:spacing w:before="0" w:beforeLines="-2147483648" w:after="0" w:afterLines="-2147483648" w:line="240" w:lineRule="auto"/>
              <w:rPr>
                <w:rFonts w:hint="default" w:ascii="Times New Roman Regular" w:hAnsi="Times New Roman Regular" w:eastAsia="宋体" w:cs="Times New Roman Regular"/>
                <w:bCs/>
                <w:color w:val="000000"/>
                <w:kern w:val="0"/>
                <w:sz w:val="24"/>
                <w:szCs w:val="24"/>
                <w:lang w:eastAsia="zh-CN" w:bidi="ar-AE"/>
              </w:rPr>
            </w:pPr>
            <w:r>
              <w:rPr>
                <w:rFonts w:ascii="Times New Roman Regular" w:hAnsi="Times New Roman Regular" w:eastAsia="宋体" w:cs="Times New Roman Regular"/>
                <w:bCs/>
                <w:color w:val="000000"/>
                <w:kern w:val="0"/>
                <w:sz w:val="24"/>
                <w:szCs w:val="24"/>
                <w:lang w:bidi="ar-AE"/>
              </w:rPr>
              <w:t>202</w:t>
            </w:r>
            <w:r>
              <w:rPr>
                <w:rFonts w:hint="eastAsia" w:ascii="Times New Roman Regular" w:hAnsi="Times New Roman Regular" w:eastAsia="宋体" w:cs="Times New Roman Regular"/>
                <w:bCs/>
                <w:color w:val="000000"/>
                <w:kern w:val="0"/>
                <w:sz w:val="24"/>
                <w:szCs w:val="24"/>
                <w:lang w:val="en-US" w:eastAsia="zh-CN" w:bidi="ar-AE"/>
              </w:rPr>
              <w:t>3</w:t>
            </w:r>
            <w:r>
              <w:rPr>
                <w:rFonts w:hint="default" w:ascii="Times New Roman Regular" w:hAnsi="Times New Roman Regular" w:eastAsia="宋体" w:cs="Times New Roman Regular"/>
                <w:bCs/>
                <w:color w:val="000000"/>
                <w:kern w:val="0"/>
                <w:sz w:val="24"/>
                <w:szCs w:val="24"/>
                <w:lang w:bidi="ar-AE"/>
              </w:rPr>
              <w:t>年</w:t>
            </w:r>
            <w:r>
              <w:rPr>
                <w:rFonts w:hint="default" w:ascii="Times New Roman Regular" w:hAnsi="Times New Roman Regular" w:eastAsia="宋体" w:cs="Times New Roman Regular"/>
                <w:bCs/>
                <w:color w:val="000000"/>
                <w:kern w:val="0"/>
                <w:sz w:val="24"/>
                <w:szCs w:val="24"/>
                <w:lang w:val="en-GB" w:bidi="ar-AE"/>
              </w:rPr>
              <w:t>中国境内</w:t>
            </w:r>
            <w:r>
              <w:rPr>
                <w:rFonts w:hint="default" w:ascii="Times New Roman Regular" w:hAnsi="Times New Roman Regular" w:eastAsia="宋体" w:cs="Times New Roman Regular"/>
                <w:bCs/>
                <w:color w:val="000000"/>
                <w:kern w:val="0"/>
                <w:sz w:val="24"/>
                <w:szCs w:val="24"/>
                <w:lang w:bidi="ar-AE"/>
              </w:rPr>
              <w:t>私募股权投资基金市场</w:t>
            </w:r>
            <w:r>
              <w:rPr>
                <w:rFonts w:hint="default" w:ascii="Times New Roman Regular" w:hAnsi="Times New Roman Regular" w:eastAsia="宋体" w:cs="Times New Roman Regular"/>
                <w:bCs/>
                <w:color w:val="000000"/>
                <w:kern w:val="0"/>
                <w:sz w:val="24"/>
                <w:szCs w:val="24"/>
                <w:lang w:eastAsia="zh-CN" w:bidi="ar-AE"/>
              </w:rPr>
              <w:t>：</w:t>
            </w:r>
          </w:p>
          <w:p>
            <w:pPr>
              <w:widowControl/>
              <w:adjustRightInd w:val="0"/>
              <w:snapToGrid w:val="0"/>
              <w:spacing w:before="0" w:beforeLines="-2147483648" w:after="0" w:afterLines="-2147483648" w:line="240" w:lineRule="auto"/>
              <w:rPr>
                <w:rFonts w:ascii="Times New Roman Regular" w:hAnsi="Times New Roman Regular" w:eastAsia="宋体" w:cs="Times New Roman Regular"/>
                <w:bCs/>
                <w:color w:val="000000"/>
                <w:kern w:val="0"/>
                <w:sz w:val="24"/>
                <w:szCs w:val="24"/>
                <w:lang w:bidi="ar-AE"/>
              </w:rPr>
            </w:pPr>
            <w:bookmarkStart w:id="0" w:name="_GoBack"/>
            <w:bookmarkEnd w:id="0"/>
            <w:r>
              <w:rPr>
                <w:rFonts w:hint="default" w:ascii="Times New Roman Regular" w:hAnsi="Times New Roman Regular" w:eastAsia="宋体" w:cs="Times New Roman Regular"/>
                <w:bCs/>
                <w:color w:val="000000"/>
                <w:kern w:val="0"/>
                <w:sz w:val="24"/>
                <w:szCs w:val="24"/>
                <w:lang w:eastAsia="zh-CN" w:bidi="ar-AE"/>
              </w:rPr>
              <w:t>山港基金</w:t>
            </w:r>
            <w:r>
              <w:rPr>
                <w:rFonts w:hint="default" w:ascii="Times New Roman Regular" w:hAnsi="Times New Roman Regular" w:eastAsia="宋体" w:cs="Times New Roman Regular"/>
                <w:bCs/>
                <w:color w:val="000000"/>
                <w:kern w:val="0"/>
                <w:sz w:val="24"/>
                <w:szCs w:val="24"/>
                <w:lang w:bidi="ar-AE"/>
              </w:rPr>
              <w:t>：</w:t>
            </w:r>
            <w:r>
              <w:rPr>
                <w:rFonts w:ascii="Times New Roman Regular" w:hAnsi="Times New Roman Regular" w:eastAsia="宋体" w:cs="Times New Roman Regular"/>
                <w:bCs/>
                <w:color w:val="000000"/>
                <w:kern w:val="0"/>
                <w:sz w:val="24"/>
                <w:szCs w:val="24"/>
                <w:lang w:bidi="ar-AE"/>
              </w:rPr>
              <w:t>0-5%</w:t>
            </w:r>
          </w:p>
        </w:tc>
      </w:tr>
    </w:tbl>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仿宋">
    <w:panose1 w:val="02010600040101010101"/>
    <w:charset w:val="86"/>
    <w:family w:val="auto"/>
    <w:pitch w:val="default"/>
    <w:sig w:usb0="00000287" w:usb1="080F0000" w:usb2="00000000" w:usb3="00000000" w:csb0="0004009F" w:csb1="DFD70000"/>
  </w:font>
  <w:font w:name="等线 Light">
    <w:altName w:val="宋体"/>
    <w:panose1 w:val="00000000000000000000"/>
    <w:charset w:val="86"/>
    <w:family w:val="auto"/>
    <w:pitch w:val="default"/>
    <w:sig w:usb0="00000000" w:usb1="00000000" w:usb2="00000016" w:usb3="00000000" w:csb0="0004000F" w:csb1="00000000"/>
  </w:font>
  <w:font w:name="Times New Roman Regular">
    <w:altName w:val="Times New Roman"/>
    <w:panose1 w:val="02020603050405020304"/>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0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95ACE3"/>
    <w:multiLevelType w:val="singleLevel"/>
    <w:tmpl w:val="BF95ACE3"/>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5F95A8"/>
    <w:rsid w:val="0FFB0F72"/>
    <w:rsid w:val="33F60192"/>
    <w:rsid w:val="373CA2C5"/>
    <w:rsid w:val="3B9FAD05"/>
    <w:rsid w:val="3D5F1EF0"/>
    <w:rsid w:val="3ED71AF2"/>
    <w:rsid w:val="3F5F0AE1"/>
    <w:rsid w:val="3FFD9689"/>
    <w:rsid w:val="495F95A8"/>
    <w:rsid w:val="4D9DB1B9"/>
    <w:rsid w:val="4E9FC6FE"/>
    <w:rsid w:val="5B37D26E"/>
    <w:rsid w:val="5D3EBB86"/>
    <w:rsid w:val="5EED849C"/>
    <w:rsid w:val="5FB9FE96"/>
    <w:rsid w:val="612502F6"/>
    <w:rsid w:val="6B7D3F57"/>
    <w:rsid w:val="6EFFD4BF"/>
    <w:rsid w:val="6FBF8B50"/>
    <w:rsid w:val="74FCAC66"/>
    <w:rsid w:val="74FD70C8"/>
    <w:rsid w:val="777B61CA"/>
    <w:rsid w:val="79BD3245"/>
    <w:rsid w:val="7BD23FDF"/>
    <w:rsid w:val="7BFF6326"/>
    <w:rsid w:val="7CEFF1CB"/>
    <w:rsid w:val="7DEBC9C0"/>
    <w:rsid w:val="7E393BCE"/>
    <w:rsid w:val="7F52C4FB"/>
    <w:rsid w:val="8F171689"/>
    <w:rsid w:val="B7FFF7EF"/>
    <w:rsid w:val="BD6551B2"/>
    <w:rsid w:val="BEDF3C48"/>
    <w:rsid w:val="D67DEFDD"/>
    <w:rsid w:val="D75EC39A"/>
    <w:rsid w:val="DDDF25E3"/>
    <w:rsid w:val="DDFC701A"/>
    <w:rsid w:val="DFD01F29"/>
    <w:rsid w:val="E9DB95FC"/>
    <w:rsid w:val="EAFFF5D2"/>
    <w:rsid w:val="EBFF4BCA"/>
    <w:rsid w:val="ECF68F6B"/>
    <w:rsid w:val="EDFA9720"/>
    <w:rsid w:val="EF7D3DC3"/>
    <w:rsid w:val="F74EB486"/>
    <w:rsid w:val="FADB0D28"/>
    <w:rsid w:val="FB7F4A73"/>
    <w:rsid w:val="FDEF6D51"/>
    <w:rsid w:val="FEEF9E78"/>
    <w:rsid w:val="FF7F59C2"/>
    <w:rsid w:val="FFDD5940"/>
    <w:rsid w:val="FFEF4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11"/>
    <w:qFormat/>
    <w:uiPriority w:val="0"/>
    <w:pPr>
      <w:keepNext/>
      <w:keepLines/>
      <w:spacing w:before="50" w:beforeLines="50" w:after="50" w:afterLines="50" w:line="360" w:lineRule="auto"/>
      <w:jc w:val="left"/>
      <w:outlineLvl w:val="0"/>
    </w:pPr>
    <w:rPr>
      <w:rFonts w:eastAsia="华文仿宋"/>
      <w:b/>
      <w:bCs/>
      <w:kern w:val="44"/>
      <w:sz w:val="28"/>
      <w:szCs w:val="44"/>
    </w:rPr>
  </w:style>
  <w:style w:type="paragraph" w:styleId="3">
    <w:name w:val="heading 2"/>
    <w:basedOn w:val="1"/>
    <w:next w:val="1"/>
    <w:link w:val="9"/>
    <w:semiHidden/>
    <w:unhideWhenUsed/>
    <w:qFormat/>
    <w:uiPriority w:val="0"/>
    <w:pPr>
      <w:spacing w:before="100" w:beforeLines="100" w:after="100" w:afterLines="100" w:line="360" w:lineRule="auto"/>
      <w:ind w:firstLine="0" w:firstLineChars="0"/>
      <w:jc w:val="left"/>
      <w:outlineLvl w:val="1"/>
    </w:pPr>
    <w:rPr>
      <w:rFonts w:hint="eastAsia" w:ascii="宋体" w:hAnsi="宋体" w:eastAsia="黑体"/>
      <w:kern w:val="0"/>
      <w:sz w:val="28"/>
      <w:szCs w:val="36"/>
    </w:rPr>
  </w:style>
  <w:style w:type="paragraph" w:styleId="4">
    <w:name w:val="heading 3"/>
    <w:basedOn w:val="1"/>
    <w:next w:val="1"/>
    <w:link w:val="12"/>
    <w:semiHidden/>
    <w:unhideWhenUsed/>
    <w:qFormat/>
    <w:uiPriority w:val="0"/>
    <w:pPr>
      <w:keepNext/>
      <w:keepLines/>
      <w:spacing w:before="260" w:after="260" w:line="416" w:lineRule="auto"/>
      <w:outlineLvl w:val="2"/>
    </w:pPr>
    <w:rPr>
      <w:rFonts w:ascii="Times New Roman" w:hAnsi="Times New Roman" w:eastAsia="宋体" w:cs="Times New Roman"/>
      <w:b/>
      <w:bCs/>
      <w:sz w:val="24"/>
      <w:szCs w:val="32"/>
    </w:rPr>
  </w:style>
  <w:style w:type="paragraph" w:styleId="5">
    <w:name w:val="heading 4"/>
    <w:basedOn w:val="1"/>
    <w:next w:val="1"/>
    <w:link w:val="13"/>
    <w:semiHidden/>
    <w:unhideWhenUsed/>
    <w:qFormat/>
    <w:uiPriority w:val="0"/>
    <w:pPr>
      <w:keepNext/>
      <w:keepLines/>
      <w:spacing w:line="400" w:lineRule="exact"/>
      <w:ind w:firstLine="0" w:firstLineChars="0"/>
      <w:outlineLvl w:val="3"/>
    </w:pPr>
    <w:rPr>
      <w:rFonts w:ascii="等线 Light" w:hAnsi="等线 Light" w:eastAsia="黑体"/>
      <w:bCs/>
      <w:sz w:val="24"/>
      <w:szCs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table of figures"/>
    <w:basedOn w:val="1"/>
    <w:next w:val="1"/>
    <w:qFormat/>
    <w:uiPriority w:val="0"/>
    <w:pPr>
      <w:spacing w:before="0" w:beforeLines="0" w:after="50" w:afterLines="50" w:line="440" w:lineRule="exact"/>
      <w:ind w:leftChars="0" w:firstLine="0" w:firstLineChars="0"/>
      <w:jc w:val="center"/>
    </w:pPr>
    <w:rPr>
      <w:rFonts w:ascii="华文仿宋" w:hAnsi="华文仿宋" w:eastAsia="宋体" w:cstheme="minorBidi"/>
      <w:sz w:val="21"/>
      <w:szCs w:val="28"/>
    </w:rPr>
  </w:style>
  <w:style w:type="character" w:customStyle="1" w:styleId="9">
    <w:name w:val="标题 2 字符1"/>
    <w:link w:val="3"/>
    <w:qFormat/>
    <w:uiPriority w:val="1"/>
    <w:rPr>
      <w:rFonts w:ascii="宋体" w:hAnsi="宋体" w:eastAsia="黑体" w:cs="Times New Roman"/>
      <w:b/>
      <w:bCs/>
      <w:color w:val="000000" w:themeColor="text1"/>
      <w:kern w:val="0"/>
      <w:sz w:val="30"/>
      <w:szCs w:val="26"/>
      <w:lang w:val="en-GB" w:eastAsia="en-US"/>
      <w14:textFill>
        <w14:solidFill>
          <w14:schemeClr w14:val="tx1"/>
        </w14:solidFill>
      </w14:textFill>
    </w:rPr>
  </w:style>
  <w:style w:type="paragraph" w:customStyle="1" w:styleId="10">
    <w:name w:val="表格"/>
    <w:basedOn w:val="1"/>
    <w:qFormat/>
    <w:uiPriority w:val="0"/>
    <w:pPr>
      <w:spacing w:line="240" w:lineRule="auto"/>
    </w:pPr>
    <w:rPr>
      <w:rFonts w:eastAsia="宋体"/>
      <w:sz w:val="21"/>
      <w:lang w:eastAsia="zh-Hans"/>
    </w:rPr>
  </w:style>
  <w:style w:type="character" w:customStyle="1" w:styleId="11">
    <w:name w:val="标题 1 Char"/>
    <w:link w:val="2"/>
    <w:qFormat/>
    <w:uiPriority w:val="0"/>
    <w:rPr>
      <w:rFonts w:ascii="Calibri" w:hAnsi="Calibri" w:eastAsia="华文仿宋" w:cs="Times New Roman"/>
      <w:b/>
      <w:bCs/>
      <w:kern w:val="44"/>
      <w:sz w:val="28"/>
      <w:szCs w:val="44"/>
    </w:rPr>
  </w:style>
  <w:style w:type="character" w:customStyle="1" w:styleId="12">
    <w:name w:val="标题 3 Char"/>
    <w:link w:val="4"/>
    <w:qFormat/>
    <w:uiPriority w:val="0"/>
    <w:rPr>
      <w:rFonts w:ascii="Calibri" w:hAnsi="Calibri" w:eastAsia="宋体" w:cs="Times New Roman"/>
      <w:b/>
      <w:bCs/>
      <w:kern w:val="2"/>
      <w:sz w:val="24"/>
      <w:szCs w:val="32"/>
    </w:rPr>
  </w:style>
  <w:style w:type="character" w:customStyle="1" w:styleId="13">
    <w:name w:val="标题 4 Char"/>
    <w:link w:val="5"/>
    <w:qFormat/>
    <w:uiPriority w:val="0"/>
    <w:rPr>
      <w:rFonts w:ascii="等线 Light" w:hAnsi="等线 Light" w:eastAsia="黑体" w:cs="Times New Roman"/>
      <w:b/>
      <w:bCs/>
      <w:kern w:val="2"/>
      <w:sz w:val="24"/>
      <w:szCs w:val="28"/>
    </w:rPr>
  </w:style>
  <w:style w:type="paragraph" w:customStyle="1" w:styleId="14">
    <w:name w:val="列表段落1"/>
    <w:basedOn w:val="1"/>
    <w:qFormat/>
    <w:uiPriority w:val="99"/>
    <w:pPr>
      <w:spacing w:before="0" w:beforeLines="0" w:after="0" w:afterLines="0"/>
      <w:ind w:firstLine="420"/>
    </w:pPr>
    <w:rPr>
      <w:rFonts w:asciiTheme="minorAscii" w:hAnsiTheme="minorAscii" w:eastAsiaTheme="minorEastAsia" w:cstheme="minorBidi"/>
      <w:sz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8ECCC"/>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TotalTime>
  <ScaleCrop>false</ScaleCrop>
  <LinksUpToDate>false</LinksUpToDate>
  <CharactersWithSpaces>0</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2024-05-01T00:12:00Z</dcterms:created>
  <dc:creator>JY陈少博</dc:creator>
  <cp:lastModifiedBy>王屹</cp:lastModifiedBy>
  <dcterms:modified xsi:type="dcterms:W3CDTF">2024-05-10T06:43:23Z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y fmtid="{D5CDD505-2E9C-101B-9397-08002B2CF9AE}" pid="3" name="ICV">
    <vt:lpwstr>F89B52745CE9999FED042E66B07B98BF_41</vt:lpwstr>
  </property>
</Properties>
</file>