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黑体" w:eastAsia="黑体"/>
          <w:b/>
          <w:sz w:val="36"/>
          <w:szCs w:val="32"/>
        </w:rPr>
      </w:pPr>
      <w:r>
        <w:rPr>
          <w:rFonts w:ascii="黑体" w:hAnsi="黑体" w:eastAsia="黑体"/>
          <w:b/>
          <w:sz w:val="36"/>
          <w:szCs w:val="32"/>
        </w:rPr>
        <w:t>经营者集中简易案件公示表</w:t>
      </w:r>
    </w:p>
    <w:p>
      <w:pPr>
        <w:rPr>
          <w:rFonts w:ascii="Times New Roman" w:hAnsi="Times New Roman" w:eastAsia="仿宋"/>
          <w:sz w:val="24"/>
          <w:szCs w:val="24"/>
        </w:rPr>
      </w:pPr>
    </w:p>
    <w:tbl>
      <w:tblPr>
        <w:tblStyle w:val="10"/>
        <w:tblW w:w="9360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01"/>
        <w:gridCol w:w="53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</w:trPr>
        <w:tc>
          <w:tcPr>
            <w:tcW w:w="2040" w:type="dxa"/>
            <w:shd w:val="clear" w:color="auto" w:fill="D9D9D9"/>
          </w:tcPr>
          <w:p>
            <w:pPr>
              <w:adjustRightInd w:val="0"/>
              <w:snapToGrid w:val="0"/>
              <w:rPr>
                <w:rFonts w:ascii="Times New Roman" w:hAnsi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b/>
                <w:sz w:val="24"/>
                <w:szCs w:val="24"/>
              </w:rPr>
              <w:t>案件名称</w:t>
            </w:r>
          </w:p>
        </w:tc>
        <w:tc>
          <w:tcPr>
            <w:tcW w:w="7320" w:type="dxa"/>
            <w:gridSpan w:val="2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Times New Roman" w:hAnsi="Times New Roman" w:eastAsiaTheme="minorEastAsia"/>
                <w:sz w:val="24"/>
                <w:szCs w:val="24"/>
              </w:rPr>
            </w:pPr>
            <w:r>
              <w:rPr>
                <w:rFonts w:hint="eastAsia"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中金资本运营有限公司与中国太平洋保险（集团）股份有限公司新设合营企业案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9" w:hRule="atLeast"/>
        </w:trPr>
        <w:tc>
          <w:tcPr>
            <w:tcW w:w="2040" w:type="dxa"/>
            <w:shd w:val="clear" w:color="auto" w:fill="D9D9D9"/>
          </w:tcPr>
          <w:p>
            <w:pPr>
              <w:adjustRightInd w:val="0"/>
              <w:snapToGrid w:val="0"/>
              <w:jc w:val="left"/>
              <w:rPr>
                <w:rFonts w:ascii="Times New Roman" w:hAnsi="Times New Roman" w:eastAsiaTheme="minorEastAsia"/>
                <w:b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b/>
                <w:sz w:val="24"/>
                <w:szCs w:val="24"/>
              </w:rPr>
              <w:t>交易概况（限200字内）</w:t>
            </w:r>
          </w:p>
        </w:tc>
        <w:tc>
          <w:tcPr>
            <w:tcW w:w="7320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outlineLvl w:val="9"/>
              <w:rPr>
                <w:rFonts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中金资本运营有限公司（“中金资本”）和中国太平洋保险（集团）股份有限公司（“中国太保”）及其关联实体等公司签署交易文件，拟</w:t>
            </w:r>
            <w:r>
              <w:rPr>
                <w:rFonts w:hint="eastAsia" w:ascii="Times New Roman" w:hAnsi="Times New Roman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共同设立</w:t>
            </w:r>
            <w:r>
              <w:rPr>
                <w:rFonts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合营企业。合营企业将主要在中国境内从事</w:t>
            </w:r>
            <w:r>
              <w:rPr>
                <w:rFonts w:ascii="Times New Roman" w:hAnsi="Times New Roman" w:eastAsiaTheme="minorEastAsia"/>
                <w:color w:val="000000" w:themeColor="text1"/>
                <w:sz w:val="24"/>
                <w:szCs w:val="24"/>
                <w:lang w:val="en-GB"/>
                <w14:textFill>
                  <w14:solidFill>
                    <w14:schemeClr w14:val="tx1"/>
                  </w14:solidFill>
                </w14:textFill>
              </w:rPr>
              <w:t>私募股权投资基金业务</w:t>
            </w:r>
            <w:r>
              <w:rPr>
                <w:rFonts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。本次交易后，中金资本为合营企业的普通合伙人，持有合营企业9.96%的份额，中国太保及其关联实体为合营企业的有限合伙人，持有合营企业49.95%的份额，双方将共同控制合营企业。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6" w:hRule="atLeast"/>
        </w:trPr>
        <w:tc>
          <w:tcPr>
            <w:tcW w:w="2040" w:type="dxa"/>
            <w:vMerge w:val="restart"/>
            <w:shd w:val="clear" w:color="auto" w:fill="D9D9D9"/>
          </w:tcPr>
          <w:p>
            <w:pPr>
              <w:adjustRightInd w:val="0"/>
              <w:snapToGrid w:val="0"/>
              <w:jc w:val="left"/>
              <w:rPr>
                <w:rFonts w:hint="eastAsia" w:ascii="Times New Roman" w:hAnsi="Times New Roman" w:eastAsiaTheme="minorEastAsia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eastAsiaTheme="minorEastAsia"/>
                <w:b/>
                <w:sz w:val="24"/>
                <w:szCs w:val="24"/>
              </w:rPr>
              <w:t>参与集中的经营者简介</w:t>
            </w:r>
            <w:r>
              <w:rPr>
                <w:rFonts w:hint="eastAsia" w:ascii="Times New Roman" w:hAnsi="Times New Roman" w:eastAsiaTheme="minorEastAsia"/>
                <w:b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Theme="minorEastAsia"/>
                <w:b/>
                <w:sz w:val="24"/>
                <w:szCs w:val="24"/>
                <w:lang w:val="en-US" w:eastAsia="zh-CN"/>
              </w:rPr>
              <w:t>每个限100字以内</w:t>
            </w:r>
            <w:r>
              <w:rPr>
                <w:rFonts w:hint="eastAsia" w:ascii="Times New Roman" w:hAnsi="Times New Roman" w:eastAsiaTheme="minorEastAsia"/>
                <w:b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2001" w:type="dxa"/>
            <w:shd w:val="clear" w:color="auto" w:fill="auto"/>
            <w:vAlign w:val="center"/>
          </w:tcPr>
          <w:p>
            <w:pPr>
              <w:numPr>
                <w:ilvl w:val="0"/>
                <w:numId w:val="1"/>
              </w:numPr>
              <w:adjustRightInd w:val="0"/>
              <w:snapToGrid w:val="0"/>
              <w:jc w:val="both"/>
              <w:rPr>
                <w:rFonts w:ascii="Times New Roman" w:hAnsi="Times New Roman" w:eastAsiaTheme="minorEastAsia"/>
                <w:sz w:val="24"/>
                <w:szCs w:val="24"/>
              </w:rPr>
            </w:pPr>
            <w:r>
              <w:rPr>
                <w:rFonts w:hint="eastAsia"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中金资本</w:t>
            </w:r>
          </w:p>
        </w:tc>
        <w:tc>
          <w:tcPr>
            <w:tcW w:w="5319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outlineLvl w:val="9"/>
              <w:rPr>
                <w:rFonts w:hint="eastAsia"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中金资本于20</w:t>
            </w:r>
            <w:r>
              <w:rPr>
                <w:rFonts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17</w:t>
            </w:r>
            <w:r>
              <w:rPr>
                <w:rFonts w:hint="eastAsia"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年3月6日成立于北京市，主要从事私募股权投资基金业务。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jc w:val="both"/>
              <w:textAlignment w:val="auto"/>
              <w:outlineLvl w:val="9"/>
              <w:rPr>
                <w:rFonts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中金资本的最终控制人为中国国际金融股份有限公司，主要从事投资银行、证券服务等业务。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7" w:hRule="atLeast"/>
        </w:trPr>
        <w:tc>
          <w:tcPr>
            <w:tcW w:w="2040" w:type="dxa"/>
            <w:vMerge w:val="continue"/>
            <w:shd w:val="clear" w:color="auto" w:fill="D9D9D9"/>
          </w:tcPr>
          <w:p>
            <w:pPr>
              <w:adjustRightInd w:val="0"/>
              <w:snapToGrid w:val="0"/>
              <w:jc w:val="left"/>
              <w:rPr>
                <w:rFonts w:ascii="Times New Roman" w:hAnsi="Times New Roman" w:eastAsiaTheme="minorEastAsia"/>
                <w:b/>
                <w:sz w:val="24"/>
                <w:szCs w:val="24"/>
              </w:rPr>
            </w:pPr>
          </w:p>
        </w:tc>
        <w:tc>
          <w:tcPr>
            <w:tcW w:w="2001" w:type="dxa"/>
            <w:shd w:val="clear" w:color="auto" w:fill="auto"/>
            <w:vAlign w:val="center"/>
          </w:tcPr>
          <w:p>
            <w:pPr>
              <w:numPr>
                <w:ilvl w:val="0"/>
                <w:numId w:val="1"/>
              </w:numPr>
              <w:adjustRightInd w:val="0"/>
              <w:snapToGrid w:val="0"/>
              <w:jc w:val="both"/>
              <w:rPr>
                <w:rFonts w:ascii="Times New Roman" w:hAnsi="Times New Roman" w:eastAsiaTheme="minorEastAsia"/>
                <w:sz w:val="24"/>
                <w:szCs w:val="24"/>
                <w:lang w:val="en-GB"/>
              </w:rPr>
            </w:pPr>
            <w:r>
              <w:rPr>
                <w:rFonts w:hint="eastAsia"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中国太保</w:t>
            </w:r>
          </w:p>
        </w:tc>
        <w:tc>
          <w:tcPr>
            <w:tcW w:w="5319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outlineLvl w:val="9"/>
              <w:rPr>
                <w:rFonts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中国太保</w:t>
            </w:r>
            <w:r>
              <w:rPr>
                <w:rFonts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于1991年</w:t>
            </w:r>
            <w:r>
              <w:rPr>
                <w:rFonts w:hint="eastAsia"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5月1</w:t>
            </w:r>
            <w:r>
              <w:rPr>
                <w:rFonts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日</w:t>
            </w:r>
            <w:r>
              <w:rPr>
                <w:rFonts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成立于</w:t>
            </w:r>
            <w:r>
              <w:rPr>
                <w:rFonts w:hint="eastAsia"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上海市</w:t>
            </w:r>
            <w:r>
              <w:rPr>
                <w:rFonts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。中国太保</w:t>
            </w:r>
            <w:r>
              <w:rPr>
                <w:rFonts w:hint="eastAsia"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是</w:t>
            </w:r>
            <w:r>
              <w:rPr>
                <w:rFonts w:hint="eastAsia" w:ascii="Times New Roman" w:hAnsi="Times New Roman"/>
                <w:color w:val="000000"/>
                <w:sz w:val="24"/>
                <w:szCs w:val="24"/>
                <w:lang w:bidi="ar"/>
              </w:rPr>
              <w:t>上海证券交易所和香港证券交易所上市公司，</w:t>
            </w:r>
            <w:r>
              <w:rPr>
                <w:rFonts w:hint="eastAsia" w:ascii="Times New Roman" w:hAnsi="Times New Roman" w:eastAsiaTheme="minor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主要通过旗下子公司提供各类风险保障、财富规划以及资产管理等产品和服务。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jc w:val="both"/>
              <w:textAlignment w:val="auto"/>
              <w:outlineLvl w:val="9"/>
              <w:rPr>
                <w:rFonts w:ascii="Times New Roman" w:hAnsi="Times New Roman" w:eastAsiaTheme="minorEastAsia"/>
                <w:sz w:val="24"/>
                <w:szCs w:val="24"/>
                <w:lang w:val="en-GB"/>
              </w:rPr>
            </w:pPr>
            <w:r>
              <w:rPr>
                <w:rFonts w:hint="eastAsia" w:ascii="Times New Roman" w:hAnsi="Times New Roman" w:eastAsiaTheme="minorEastAsia"/>
                <w:sz w:val="24"/>
                <w:szCs w:val="24"/>
                <w:lang w:val="en-GB"/>
              </w:rPr>
              <w:t>中国太保无最终控制人。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2040" w:type="dxa"/>
            <w:vMerge w:val="restart"/>
            <w:shd w:val="clear" w:color="auto" w:fill="D9D9D9"/>
          </w:tcPr>
          <w:p>
            <w:pPr>
              <w:adjustRightInd w:val="0"/>
              <w:snapToGrid w:val="0"/>
              <w:jc w:val="left"/>
              <w:rPr>
                <w:rFonts w:ascii="Times New Roman" w:hAnsi="Times New Roman" w:eastAsiaTheme="minorEastAsia"/>
                <w:b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320" w:type="dxa"/>
            <w:gridSpan w:val="2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Times New Roman" w:hAnsi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bCs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eastAsiaTheme="minorEastAsia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040" w:type="dxa"/>
            <w:vMerge w:val="continue"/>
            <w:shd w:val="clear" w:color="auto" w:fill="D9D9D9"/>
          </w:tcPr>
          <w:p>
            <w:pPr>
              <w:adjustRightInd w:val="0"/>
              <w:snapToGrid w:val="0"/>
              <w:rPr>
                <w:rFonts w:ascii="Times New Roman" w:hAnsi="Times New Roman" w:eastAsiaTheme="minorEastAsia"/>
                <w:b/>
                <w:sz w:val="24"/>
                <w:szCs w:val="24"/>
              </w:rPr>
            </w:pPr>
          </w:p>
        </w:tc>
        <w:tc>
          <w:tcPr>
            <w:tcW w:w="7320" w:type="dxa"/>
            <w:gridSpan w:val="2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Times New Roman" w:hAnsi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sz w:val="24"/>
                <w:szCs w:val="24"/>
              </w:rPr>
              <w:t>□2、存在上下游关系的参与集中的经营者，在上下游市场所占的市场份额均小于25%。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40" w:type="dxa"/>
            <w:vMerge w:val="continue"/>
            <w:shd w:val="clear" w:color="auto" w:fill="D9D9D9"/>
          </w:tcPr>
          <w:p>
            <w:pPr>
              <w:adjustRightInd w:val="0"/>
              <w:snapToGrid w:val="0"/>
              <w:rPr>
                <w:rFonts w:ascii="Times New Roman" w:hAnsi="Times New Roman" w:eastAsiaTheme="minorEastAsia"/>
                <w:b/>
                <w:sz w:val="24"/>
                <w:szCs w:val="24"/>
              </w:rPr>
            </w:pPr>
          </w:p>
        </w:tc>
        <w:tc>
          <w:tcPr>
            <w:tcW w:w="7320" w:type="dxa"/>
            <w:gridSpan w:val="2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Times New Roman" w:hAnsi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sz w:val="24"/>
                <w:szCs w:val="24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2040" w:type="dxa"/>
            <w:vMerge w:val="continue"/>
            <w:shd w:val="clear" w:color="auto" w:fill="D9D9D9"/>
          </w:tcPr>
          <w:p>
            <w:pPr>
              <w:adjustRightInd w:val="0"/>
              <w:snapToGrid w:val="0"/>
              <w:rPr>
                <w:rFonts w:ascii="Times New Roman" w:hAnsi="Times New Roman" w:eastAsiaTheme="minorEastAsia"/>
                <w:b/>
                <w:sz w:val="24"/>
                <w:szCs w:val="24"/>
              </w:rPr>
            </w:pPr>
          </w:p>
        </w:tc>
        <w:tc>
          <w:tcPr>
            <w:tcW w:w="7320" w:type="dxa"/>
            <w:gridSpan w:val="2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Times New Roman" w:hAnsi="Times New Roman" w:eastAsiaTheme="minorEastAsia"/>
                <w:bCs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sz w:val="24"/>
                <w:szCs w:val="24"/>
              </w:rPr>
              <w:t>□</w:t>
            </w:r>
            <w:r>
              <w:rPr>
                <w:rFonts w:ascii="Times New Roman" w:hAnsi="Times New Roman" w:eastAsiaTheme="minorEastAsia"/>
                <w:bCs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2040" w:type="dxa"/>
            <w:vMerge w:val="continue"/>
            <w:shd w:val="clear" w:color="auto" w:fill="D9D9D9"/>
          </w:tcPr>
          <w:p>
            <w:pPr>
              <w:adjustRightInd w:val="0"/>
              <w:snapToGrid w:val="0"/>
              <w:rPr>
                <w:rFonts w:ascii="Times New Roman" w:hAnsi="Times New Roman" w:eastAsiaTheme="minorEastAsia"/>
                <w:b/>
                <w:sz w:val="24"/>
                <w:szCs w:val="24"/>
              </w:rPr>
            </w:pPr>
          </w:p>
        </w:tc>
        <w:tc>
          <w:tcPr>
            <w:tcW w:w="7320" w:type="dxa"/>
            <w:gridSpan w:val="2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Times New Roman" w:hAnsi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sz w:val="24"/>
                <w:szCs w:val="24"/>
              </w:rPr>
              <w:t>□5、参与集中的经营者收购境外企业股权或资产的，该境外企业不在中国境内从事经济活动。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2040" w:type="dxa"/>
            <w:vMerge w:val="continue"/>
            <w:shd w:val="clear" w:color="auto" w:fill="D9D9D9"/>
          </w:tcPr>
          <w:p>
            <w:pPr>
              <w:adjustRightInd w:val="0"/>
              <w:snapToGrid w:val="0"/>
              <w:rPr>
                <w:rFonts w:ascii="Times New Roman" w:hAnsi="Times New Roman" w:eastAsiaTheme="minorEastAsia"/>
                <w:b/>
                <w:sz w:val="24"/>
                <w:szCs w:val="24"/>
              </w:rPr>
            </w:pPr>
          </w:p>
        </w:tc>
        <w:tc>
          <w:tcPr>
            <w:tcW w:w="7320" w:type="dxa"/>
            <w:gridSpan w:val="2"/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Times New Roman" w:hAnsi="Times New Roman" w:eastAsiaTheme="minorEastAsia"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sz w:val="24"/>
                <w:szCs w:val="24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16" w:hRule="atLeast"/>
        </w:trPr>
        <w:tc>
          <w:tcPr>
            <w:tcW w:w="2040" w:type="dxa"/>
            <w:shd w:val="clear" w:color="auto" w:fill="D9D9D9"/>
          </w:tcPr>
          <w:p>
            <w:pPr>
              <w:adjustRightInd w:val="0"/>
              <w:snapToGrid w:val="0"/>
              <w:rPr>
                <w:rFonts w:ascii="Times New Roman" w:hAnsi="Times New Roman" w:eastAsiaTheme="minorEastAsia"/>
                <w:b/>
                <w:sz w:val="24"/>
                <w:szCs w:val="24"/>
              </w:rPr>
            </w:pPr>
            <w:r>
              <w:rPr>
                <w:rFonts w:ascii="Times New Roman" w:hAnsi="Times New Roman" w:eastAsiaTheme="minorEastAsia"/>
                <w:b/>
                <w:sz w:val="24"/>
                <w:szCs w:val="24"/>
              </w:rPr>
              <w:t>备注</w:t>
            </w:r>
          </w:p>
        </w:tc>
        <w:tc>
          <w:tcPr>
            <w:tcW w:w="7320" w:type="dxa"/>
            <w:gridSpan w:val="2"/>
            <w:shd w:val="clear" w:color="auto" w:fill="auto"/>
            <w:vAlign w:val="center"/>
          </w:tcPr>
          <w:p>
            <w:pPr>
              <w:adjustRightInd w:val="0"/>
              <w:snapToGrid w:val="0"/>
              <w:jc w:val="both"/>
              <w:rPr>
                <w:rFonts w:ascii="Times New Roman" w:hAnsi="Times New Roman" w:eastAsiaTheme="minorEastAsia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Theme="minorEastAsia"/>
                <w:b/>
                <w:sz w:val="24"/>
                <w:szCs w:val="24"/>
                <w:u w:val="none"/>
              </w:rPr>
              <w:t>横向重叠</w:t>
            </w:r>
            <w:r>
              <w:rPr>
                <w:rFonts w:hint="eastAsia" w:ascii="Times New Roman" w:hAnsi="Times New Roman" w:eastAsiaTheme="minorEastAsia"/>
                <w:sz w:val="24"/>
                <w:szCs w:val="24"/>
                <w:u w:val="none"/>
              </w:rPr>
              <w:t>：</w:t>
            </w:r>
          </w:p>
          <w:p>
            <w:pPr>
              <w:adjustRightInd w:val="0"/>
              <w:snapToGrid w:val="0"/>
              <w:jc w:val="both"/>
              <w:rPr>
                <w:rFonts w:ascii="Times New Roman" w:hAnsi="Times New Roman" w:eastAsiaTheme="minorEastAsia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Theme="minorEastAsia"/>
                <w:bCs/>
                <w:sz w:val="24"/>
                <w:szCs w:val="24"/>
              </w:rPr>
              <w:t>2023年中国境内私募股权投资基</w:t>
            </w:r>
            <w:bookmarkStart w:id="0" w:name="_GoBack"/>
            <w:bookmarkEnd w:id="0"/>
            <w:r>
              <w:rPr>
                <w:rFonts w:hint="eastAsia" w:ascii="Times New Roman" w:hAnsi="Times New Roman" w:eastAsiaTheme="minorEastAsia"/>
                <w:bCs/>
                <w:sz w:val="24"/>
                <w:szCs w:val="24"/>
              </w:rPr>
              <w:t>金市场：</w:t>
            </w:r>
          </w:p>
          <w:p>
            <w:pPr>
              <w:adjustRightInd w:val="0"/>
              <w:snapToGrid w:val="0"/>
              <w:jc w:val="both"/>
              <w:rPr>
                <w:rFonts w:hint="eastAsia" w:ascii="Times New Roman" w:hAnsi="Times New Roman" w:eastAsiaTheme="minorEastAsia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Theme="minorEastAsia"/>
                <w:bCs/>
                <w:sz w:val="24"/>
                <w:szCs w:val="24"/>
              </w:rPr>
              <w:t>中金资本：0-5%</w:t>
            </w:r>
          </w:p>
          <w:p>
            <w:pPr>
              <w:adjustRightInd w:val="0"/>
              <w:snapToGrid w:val="0"/>
              <w:jc w:val="both"/>
              <w:rPr>
                <w:rFonts w:hint="eastAsia" w:ascii="Times New Roman" w:hAnsi="Times New Roman" w:eastAsiaTheme="minorEastAsia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Theme="minorEastAsia"/>
                <w:bCs/>
                <w:sz w:val="24"/>
                <w:szCs w:val="24"/>
              </w:rPr>
              <w:t>中国太保：0-5%</w:t>
            </w:r>
          </w:p>
          <w:p>
            <w:pPr>
              <w:adjustRightInd w:val="0"/>
              <w:snapToGrid w:val="0"/>
              <w:jc w:val="both"/>
              <w:rPr>
                <w:rFonts w:ascii="Times New Roman" w:hAnsi="Times New Roman" w:eastAsiaTheme="minorEastAsia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Theme="minorEastAsia"/>
                <w:bCs/>
                <w:sz w:val="24"/>
                <w:szCs w:val="24"/>
              </w:rPr>
              <w:t xml:space="preserve">双方合计：0-5% </w:t>
            </w:r>
          </w:p>
        </w:tc>
      </w:tr>
    </w:tbl>
    <w:p>
      <w:pPr>
        <w:rPr>
          <w:rFonts w:ascii="Times New Roman" w:hAnsi="Times New Roman" w:eastAsia="仿宋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  <w:rPr>
        <w:rFonts w:ascii="Times New Roman" w:hAnsi="Times New Roman"/>
      </w:rPr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PAGE   \* MERGEFORMAT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  <w:lang w:val="zh-CN"/>
      </w:rPr>
      <w:t>1</w:t>
    </w:r>
    <w:r>
      <w:rPr>
        <w:rFonts w:ascii="Times New Roman" w:hAnsi="Times New Roman"/>
      </w:rPr>
      <w:fldChar w:fldCharType="end"/>
    </w:r>
  </w:p>
  <w:p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32898"/>
    <w:multiLevelType w:val="multilevel"/>
    <w:tmpl w:val="0143289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hideSpellingErrors/>
  <w:hideGrammaticalErrors/>
  <w:documentProtection w:enforcement="0"/>
  <w:defaultTabStop w:val="720"/>
  <w:displayHorizontalDrawingGridEvery w:val="0"/>
  <w:displayVerticalDrawingGridEvery w:val="2"/>
  <w:characterSpacingControl w:val="doNotCompress"/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27C"/>
    <w:rsid w:val="00004579"/>
    <w:rsid w:val="00005AB4"/>
    <w:rsid w:val="00010A97"/>
    <w:rsid w:val="00014968"/>
    <w:rsid w:val="00016C49"/>
    <w:rsid w:val="00035B1D"/>
    <w:rsid w:val="0004127C"/>
    <w:rsid w:val="00044F09"/>
    <w:rsid w:val="00045D7F"/>
    <w:rsid w:val="000879B2"/>
    <w:rsid w:val="000C0035"/>
    <w:rsid w:val="000D75E6"/>
    <w:rsid w:val="000F4137"/>
    <w:rsid w:val="00100DA0"/>
    <w:rsid w:val="001144D7"/>
    <w:rsid w:val="00126D4C"/>
    <w:rsid w:val="00127F7E"/>
    <w:rsid w:val="001414F2"/>
    <w:rsid w:val="00153251"/>
    <w:rsid w:val="001A7E88"/>
    <w:rsid w:val="001D64A9"/>
    <w:rsid w:val="001F4AA4"/>
    <w:rsid w:val="00203E05"/>
    <w:rsid w:val="00220721"/>
    <w:rsid w:val="002254A1"/>
    <w:rsid w:val="00226AD0"/>
    <w:rsid w:val="00237CCA"/>
    <w:rsid w:val="0024232B"/>
    <w:rsid w:val="00272C45"/>
    <w:rsid w:val="00282523"/>
    <w:rsid w:val="002D4678"/>
    <w:rsid w:val="002E3DED"/>
    <w:rsid w:val="00312B34"/>
    <w:rsid w:val="00315778"/>
    <w:rsid w:val="00327432"/>
    <w:rsid w:val="00334AC4"/>
    <w:rsid w:val="00335E8C"/>
    <w:rsid w:val="00355C44"/>
    <w:rsid w:val="00363AFF"/>
    <w:rsid w:val="003C41D9"/>
    <w:rsid w:val="003C6801"/>
    <w:rsid w:val="003E22F5"/>
    <w:rsid w:val="003E5A60"/>
    <w:rsid w:val="003F4378"/>
    <w:rsid w:val="004069F4"/>
    <w:rsid w:val="004423B5"/>
    <w:rsid w:val="00444C09"/>
    <w:rsid w:val="00444C57"/>
    <w:rsid w:val="00452EB0"/>
    <w:rsid w:val="00456458"/>
    <w:rsid w:val="004625EE"/>
    <w:rsid w:val="00464B27"/>
    <w:rsid w:val="004A2940"/>
    <w:rsid w:val="004B377E"/>
    <w:rsid w:val="004B3992"/>
    <w:rsid w:val="004D0755"/>
    <w:rsid w:val="004E44BE"/>
    <w:rsid w:val="004E6765"/>
    <w:rsid w:val="00511F11"/>
    <w:rsid w:val="00527E1C"/>
    <w:rsid w:val="00531E06"/>
    <w:rsid w:val="00532444"/>
    <w:rsid w:val="0053411C"/>
    <w:rsid w:val="00541BC4"/>
    <w:rsid w:val="0054542A"/>
    <w:rsid w:val="0055773D"/>
    <w:rsid w:val="0056303B"/>
    <w:rsid w:val="005765EA"/>
    <w:rsid w:val="00593059"/>
    <w:rsid w:val="005A42F6"/>
    <w:rsid w:val="005A506A"/>
    <w:rsid w:val="005E3A7E"/>
    <w:rsid w:val="005F42D7"/>
    <w:rsid w:val="006125F1"/>
    <w:rsid w:val="006146E1"/>
    <w:rsid w:val="00632DC2"/>
    <w:rsid w:val="00653687"/>
    <w:rsid w:val="00656AEC"/>
    <w:rsid w:val="006575A9"/>
    <w:rsid w:val="00660FBA"/>
    <w:rsid w:val="00665401"/>
    <w:rsid w:val="00667DD8"/>
    <w:rsid w:val="00672A8C"/>
    <w:rsid w:val="00675602"/>
    <w:rsid w:val="00686063"/>
    <w:rsid w:val="00691DA7"/>
    <w:rsid w:val="006A27A4"/>
    <w:rsid w:val="006A4407"/>
    <w:rsid w:val="006A7C0A"/>
    <w:rsid w:val="006B723F"/>
    <w:rsid w:val="006E1BDA"/>
    <w:rsid w:val="006E714D"/>
    <w:rsid w:val="006F4751"/>
    <w:rsid w:val="006F6685"/>
    <w:rsid w:val="00723CDE"/>
    <w:rsid w:val="00723CF3"/>
    <w:rsid w:val="0073180F"/>
    <w:rsid w:val="00753080"/>
    <w:rsid w:val="00762920"/>
    <w:rsid w:val="007B0AB1"/>
    <w:rsid w:val="007D1560"/>
    <w:rsid w:val="007E0E10"/>
    <w:rsid w:val="007E1612"/>
    <w:rsid w:val="007E23B5"/>
    <w:rsid w:val="0080086D"/>
    <w:rsid w:val="00826727"/>
    <w:rsid w:val="00856BB5"/>
    <w:rsid w:val="00856EF1"/>
    <w:rsid w:val="00871026"/>
    <w:rsid w:val="00896ABA"/>
    <w:rsid w:val="008A0365"/>
    <w:rsid w:val="008A369D"/>
    <w:rsid w:val="008A6EA2"/>
    <w:rsid w:val="008B4AD4"/>
    <w:rsid w:val="008C1B51"/>
    <w:rsid w:val="008C1C3E"/>
    <w:rsid w:val="008E2D06"/>
    <w:rsid w:val="008F608F"/>
    <w:rsid w:val="00930C14"/>
    <w:rsid w:val="009318DF"/>
    <w:rsid w:val="00940BA4"/>
    <w:rsid w:val="00956DDB"/>
    <w:rsid w:val="00967C19"/>
    <w:rsid w:val="009838B4"/>
    <w:rsid w:val="00991CC9"/>
    <w:rsid w:val="009D7946"/>
    <w:rsid w:val="009F59D3"/>
    <w:rsid w:val="00A03C36"/>
    <w:rsid w:val="00A10912"/>
    <w:rsid w:val="00A116BA"/>
    <w:rsid w:val="00A2070C"/>
    <w:rsid w:val="00A22321"/>
    <w:rsid w:val="00A35A9B"/>
    <w:rsid w:val="00A551BB"/>
    <w:rsid w:val="00A81A88"/>
    <w:rsid w:val="00AA6568"/>
    <w:rsid w:val="00AF1C57"/>
    <w:rsid w:val="00B039F3"/>
    <w:rsid w:val="00B03F6F"/>
    <w:rsid w:val="00B26599"/>
    <w:rsid w:val="00B34372"/>
    <w:rsid w:val="00B41C7F"/>
    <w:rsid w:val="00B43A87"/>
    <w:rsid w:val="00B5318A"/>
    <w:rsid w:val="00B53BF2"/>
    <w:rsid w:val="00B5493F"/>
    <w:rsid w:val="00B62E4C"/>
    <w:rsid w:val="00B70961"/>
    <w:rsid w:val="00B901B3"/>
    <w:rsid w:val="00BA48B0"/>
    <w:rsid w:val="00BA48DB"/>
    <w:rsid w:val="00BD1BA8"/>
    <w:rsid w:val="00BD49EB"/>
    <w:rsid w:val="00BD6198"/>
    <w:rsid w:val="00BE00DD"/>
    <w:rsid w:val="00BE0BA1"/>
    <w:rsid w:val="00BF5A8A"/>
    <w:rsid w:val="00C23EF7"/>
    <w:rsid w:val="00C34F0D"/>
    <w:rsid w:val="00C534CD"/>
    <w:rsid w:val="00C56F13"/>
    <w:rsid w:val="00CA5536"/>
    <w:rsid w:val="00CB2F77"/>
    <w:rsid w:val="00CD2031"/>
    <w:rsid w:val="00CD4FBC"/>
    <w:rsid w:val="00CD5412"/>
    <w:rsid w:val="00CE0087"/>
    <w:rsid w:val="00CE53D1"/>
    <w:rsid w:val="00D04B4C"/>
    <w:rsid w:val="00D25A43"/>
    <w:rsid w:val="00D31CB2"/>
    <w:rsid w:val="00D37158"/>
    <w:rsid w:val="00D371B1"/>
    <w:rsid w:val="00D40A9C"/>
    <w:rsid w:val="00D4295A"/>
    <w:rsid w:val="00D63019"/>
    <w:rsid w:val="00D762AC"/>
    <w:rsid w:val="00DB5CF1"/>
    <w:rsid w:val="00DC6C0B"/>
    <w:rsid w:val="00DD0C00"/>
    <w:rsid w:val="00DD2216"/>
    <w:rsid w:val="00E06AB6"/>
    <w:rsid w:val="00E27DE4"/>
    <w:rsid w:val="00E3051A"/>
    <w:rsid w:val="00E67E26"/>
    <w:rsid w:val="00E95B9A"/>
    <w:rsid w:val="00EB5553"/>
    <w:rsid w:val="00EE5E4A"/>
    <w:rsid w:val="00EE5E9C"/>
    <w:rsid w:val="00F11A3B"/>
    <w:rsid w:val="00F156DD"/>
    <w:rsid w:val="00F27DC0"/>
    <w:rsid w:val="00F35226"/>
    <w:rsid w:val="00F54CF1"/>
    <w:rsid w:val="00F608D9"/>
    <w:rsid w:val="00F6749A"/>
    <w:rsid w:val="00FB32BE"/>
    <w:rsid w:val="00FF33D7"/>
    <w:rsid w:val="37E56F25"/>
    <w:rsid w:val="37FFFC07"/>
    <w:rsid w:val="571838EB"/>
    <w:rsid w:val="6C416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subject"/>
    <w:basedOn w:val="3"/>
    <w:next w:val="3"/>
    <w:link w:val="16"/>
    <w:semiHidden/>
    <w:unhideWhenUsed/>
    <w:qFormat/>
    <w:uiPriority w:val="99"/>
    <w:rPr>
      <w:b/>
      <w:bCs/>
    </w:rPr>
  </w:style>
  <w:style w:type="paragraph" w:styleId="3">
    <w:name w:val="annotation text"/>
    <w:basedOn w:val="1"/>
    <w:link w:val="15"/>
    <w:unhideWhenUsed/>
    <w:uiPriority w:val="99"/>
    <w:pPr>
      <w:jc w:val="left"/>
    </w:pPr>
  </w:style>
  <w:style w:type="paragraph" w:styleId="4">
    <w:name w:val="Balloon Text"/>
    <w:basedOn w:val="1"/>
    <w:link w:val="17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Hyperlink"/>
    <w:basedOn w:val="7"/>
    <w:semiHidden/>
    <w:unhideWhenUsed/>
    <w:qFormat/>
    <w:uiPriority w:val="99"/>
    <w:rPr>
      <w:color w:val="0000FF"/>
      <w:u w:val="single"/>
    </w:rPr>
  </w:style>
  <w:style w:type="character" w:styleId="9">
    <w:name w:val="annotation reference"/>
    <w:basedOn w:val="7"/>
    <w:semiHidden/>
    <w:unhideWhenUsed/>
    <w:qFormat/>
    <w:uiPriority w:val="99"/>
    <w:rPr>
      <w:sz w:val="21"/>
      <w:szCs w:val="21"/>
    </w:rPr>
  </w:style>
  <w:style w:type="table" w:styleId="11">
    <w:name w:val="Table Grid"/>
    <w:basedOn w:val="10"/>
    <w:qFormat/>
    <w:uiPriority w:val="5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2">
    <w:name w:val="页眉 字符"/>
    <w:basedOn w:val="7"/>
    <w:link w:val="6"/>
    <w:qFormat/>
    <w:uiPriority w:val="99"/>
    <w:rPr>
      <w:sz w:val="18"/>
      <w:szCs w:val="18"/>
    </w:rPr>
  </w:style>
  <w:style w:type="character" w:customStyle="1" w:styleId="13">
    <w:name w:val="页脚 字符"/>
    <w:basedOn w:val="7"/>
    <w:link w:val="5"/>
    <w:qFormat/>
    <w:uiPriority w:val="99"/>
    <w:rPr>
      <w:sz w:val="18"/>
      <w:szCs w:val="18"/>
    </w:rPr>
  </w:style>
  <w:style w:type="character" w:customStyle="1" w:styleId="14">
    <w:name w:val="页眉 字符1"/>
    <w:basedOn w:val="7"/>
    <w:qFormat/>
    <w:uiPriority w:val="99"/>
    <w:rPr>
      <w:sz w:val="18"/>
      <w:szCs w:val="18"/>
    </w:rPr>
  </w:style>
  <w:style w:type="character" w:customStyle="1" w:styleId="15">
    <w:name w:val="批注文字 字符"/>
    <w:basedOn w:val="7"/>
    <w:link w:val="3"/>
    <w:qFormat/>
    <w:uiPriority w:val="99"/>
    <w:rPr>
      <w:rFonts w:ascii="Calibri" w:hAnsi="Calibri" w:eastAsia="宋体" w:cs="Times New Roman"/>
      <w:kern w:val="2"/>
      <w:sz w:val="21"/>
    </w:rPr>
  </w:style>
  <w:style w:type="character" w:customStyle="1" w:styleId="16">
    <w:name w:val="批注主题 字符"/>
    <w:basedOn w:val="15"/>
    <w:link w:val="2"/>
    <w:semiHidden/>
    <w:qFormat/>
    <w:uiPriority w:val="99"/>
    <w:rPr>
      <w:rFonts w:ascii="Calibri" w:hAnsi="Calibri" w:eastAsia="宋体" w:cs="Times New Roman"/>
      <w:b/>
      <w:bCs/>
      <w:kern w:val="2"/>
      <w:sz w:val="21"/>
    </w:rPr>
  </w:style>
  <w:style w:type="character" w:customStyle="1" w:styleId="17">
    <w:name w:val="批注框文本 字符"/>
    <w:basedOn w:val="7"/>
    <w:link w:val="4"/>
    <w:semiHidden/>
    <w:qFormat/>
    <w:uiPriority w:val="99"/>
    <w:rPr>
      <w:rFonts w:ascii="Calibri" w:hAnsi="Calibri" w:eastAsia="宋体" w:cs="Times New Roman"/>
      <w:kern w:val="2"/>
      <w:sz w:val="18"/>
      <w:szCs w:val="18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paragraph" w:customStyle="1" w:styleId="19">
    <w:name w:val="修订1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">
    <w:name w:val="Revision"/>
    <w:hidden/>
    <w:unhideWhenUsed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="http://schemas.openxmlformats.org/officeDocument/2006/bibliography" xmlns:b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21DC91B-0558-4E67-90A4-32CE604D7F7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124</Words>
  <Characters>710</Characters>
  <Lines>5</Lines>
  <Paragraphs>1</Paragraphs>
  <TotalTime>1</TotalTime>
  <ScaleCrop>false</ScaleCrop>
  <LinksUpToDate>false</LinksUpToDate>
  <CharactersWithSpaces>833</CharactersWithSpaces>
  <Application>WPS Office_10.8.2.7090_F1E327BC-269C-435d-A152-05C5408002CA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2022-09-02T17:02:00Z</dcterms:created>
  <dc:creator>dell</dc:creator>
  <cp:lastModifiedBy>管理人员</cp:lastModifiedBy>
  <dcterms:modified xsi:type="dcterms:W3CDTF">2024-06-11T08:12:03Z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2052-10.8.2.7090</vt:lpwstr>
  </property>
</Properties>
</file>