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DEE73D">
      <w:pPr>
        <w:jc w:val="center"/>
        <w:rPr>
          <w:rFonts w:hint="eastAsia" w:ascii="黑体" w:hAnsi="黑体" w:eastAsia="黑体" w:cs="黑体"/>
          <w:bCs/>
          <w:sz w:val="36"/>
          <w:szCs w:val="36"/>
        </w:rPr>
      </w:pPr>
      <w:r>
        <w:rPr>
          <w:rFonts w:hint="eastAsia" w:ascii="黑体" w:hAnsi="黑体" w:eastAsia="黑体" w:cs="黑体"/>
          <w:bCs/>
          <w:sz w:val="36"/>
          <w:szCs w:val="36"/>
        </w:rPr>
        <w:t>经营者集中简易案件公示表</w:t>
      </w:r>
    </w:p>
    <w:tbl>
      <w:tblPr>
        <w:tblStyle w:val="6"/>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14:paraId="38522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1940" w:type="dxa"/>
            <w:shd w:val="clear" w:color="auto" w:fill="D9D9D9"/>
            <w:vAlign w:val="center"/>
          </w:tcPr>
          <w:p w14:paraId="4059E567">
            <w:pPr>
              <w:pStyle w:val="3"/>
              <w:adjustRightInd w:val="0"/>
              <w:snapToGrid w:val="0"/>
              <w:spacing w:after="0" w:line="240" w:lineRule="auto"/>
              <w:rPr>
                <w:rFonts w:hint="eastAsia" w:ascii="宋体" w:hAnsi="宋体" w:cs="宋体"/>
                <w:bCs/>
                <w:color w:val="000000"/>
                <w:sz w:val="24"/>
                <w:szCs w:val="24"/>
              </w:rPr>
            </w:pPr>
            <w:r>
              <w:rPr>
                <w:rFonts w:hint="eastAsia" w:ascii="宋体" w:hAnsi="宋体" w:cs="宋体"/>
                <w:bCs/>
                <w:color w:val="000000"/>
                <w:sz w:val="24"/>
                <w:szCs w:val="24"/>
                <w:lang w:val="en-GB"/>
              </w:rPr>
              <w:t>案件名称</w:t>
            </w:r>
          </w:p>
        </w:tc>
        <w:tc>
          <w:tcPr>
            <w:tcW w:w="7700" w:type="dxa"/>
            <w:gridSpan w:val="2"/>
            <w:vAlign w:val="center"/>
          </w:tcPr>
          <w:p w14:paraId="42A7BEDE">
            <w:pPr>
              <w:adjustRightInd w:val="0"/>
              <w:snapToGrid w:val="0"/>
              <w:rPr>
                <w:rFonts w:hint="eastAsia" w:ascii="宋体" w:hAnsi="宋体" w:cs="宋体"/>
                <w:bCs/>
                <w:color w:val="000000"/>
                <w:sz w:val="24"/>
              </w:rPr>
            </w:pPr>
            <w:r>
              <w:rPr>
                <w:rFonts w:hint="eastAsia" w:ascii="宋体" w:hAnsi="宋体" w:cs="宋体"/>
                <w:bCs/>
                <w:color w:val="000000"/>
                <w:sz w:val="24"/>
              </w:rPr>
              <w:t>河南中源钛业有限公司与攀钢集团西昌新钢业有限公司新设合营企业案</w:t>
            </w:r>
          </w:p>
        </w:tc>
      </w:tr>
      <w:tr w14:paraId="0626C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jc w:val="center"/>
        </w:trPr>
        <w:tc>
          <w:tcPr>
            <w:tcW w:w="1940" w:type="dxa"/>
            <w:shd w:val="clear" w:color="auto" w:fill="D9D9D9"/>
            <w:vAlign w:val="center"/>
          </w:tcPr>
          <w:p w14:paraId="42881E7F">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val="en-GB" w:eastAsia="zh-CN"/>
              </w:rPr>
              <w:t>交易概况（限200字内）</w:t>
            </w:r>
          </w:p>
        </w:tc>
        <w:tc>
          <w:tcPr>
            <w:tcW w:w="7700" w:type="dxa"/>
            <w:gridSpan w:val="2"/>
            <w:vAlign w:val="center"/>
          </w:tcPr>
          <w:p w14:paraId="32C33721">
            <w:pPr>
              <w:adjustRightInd w:val="0"/>
              <w:snapToGrid w:val="0"/>
              <w:rPr>
                <w:rFonts w:hint="eastAsia" w:ascii="宋体" w:hAnsi="宋体" w:cs="宋体"/>
                <w:kern w:val="0"/>
                <w:sz w:val="24"/>
              </w:rPr>
            </w:pPr>
            <w:r>
              <w:rPr>
                <w:rFonts w:hint="eastAsia" w:ascii="宋体" w:hAnsi="宋体" w:cs="宋体"/>
                <w:bCs/>
                <w:color w:val="000000"/>
                <w:sz w:val="24"/>
              </w:rPr>
              <w:t>河南中源钛业有限公司</w:t>
            </w:r>
            <w:r>
              <w:rPr>
                <w:rFonts w:hint="eastAsia" w:ascii="宋体" w:hAnsi="宋体" w:cs="宋体"/>
                <w:kern w:val="0"/>
                <w:sz w:val="24"/>
              </w:rPr>
              <w:t>（“</w:t>
            </w:r>
            <w:r>
              <w:rPr>
                <w:rFonts w:hint="eastAsia" w:ascii="宋体" w:hAnsi="宋体" w:cs="宋体"/>
                <w:bCs/>
                <w:color w:val="000000"/>
                <w:sz w:val="24"/>
              </w:rPr>
              <w:t>中源钛业</w:t>
            </w:r>
            <w:r>
              <w:rPr>
                <w:rFonts w:hint="eastAsia" w:ascii="宋体" w:hAnsi="宋体" w:cs="宋体"/>
                <w:kern w:val="0"/>
                <w:sz w:val="24"/>
              </w:rPr>
              <w:t>”）和</w:t>
            </w:r>
            <w:r>
              <w:rPr>
                <w:rFonts w:hint="eastAsia" w:ascii="宋体" w:hAnsi="宋体" w:cs="宋体"/>
                <w:bCs/>
                <w:color w:val="000000"/>
                <w:sz w:val="24"/>
              </w:rPr>
              <w:t>攀钢集团西昌新钢业有限公司</w:t>
            </w:r>
            <w:r>
              <w:rPr>
                <w:rFonts w:hint="eastAsia" w:ascii="宋体" w:hAnsi="宋体" w:cs="宋体"/>
                <w:kern w:val="0"/>
                <w:sz w:val="24"/>
              </w:rPr>
              <w:t>（“</w:t>
            </w:r>
            <w:r>
              <w:rPr>
                <w:rFonts w:hint="eastAsia" w:ascii="宋体" w:hAnsi="宋体" w:cs="宋体"/>
                <w:bCs/>
                <w:color w:val="000000"/>
                <w:sz w:val="24"/>
              </w:rPr>
              <w:t>西昌新钢业</w:t>
            </w:r>
            <w:r>
              <w:rPr>
                <w:rFonts w:hint="eastAsia" w:ascii="宋体" w:hAnsi="宋体" w:cs="宋体"/>
                <w:kern w:val="0"/>
                <w:sz w:val="24"/>
              </w:rPr>
              <w:t>”）共同出资新设合营企业，合营企业注册资本计划为人民币20</w:t>
            </w:r>
            <w:r>
              <w:rPr>
                <w:rFonts w:hint="eastAsia" w:ascii="宋体" w:hAnsi="宋体" w:cs="宋体"/>
                <w:bCs/>
                <w:color w:val="000000"/>
                <w:sz w:val="24"/>
              </w:rPr>
              <w:t>,</w:t>
            </w:r>
            <w:r>
              <w:rPr>
                <w:rFonts w:hint="eastAsia" w:ascii="宋体" w:hAnsi="宋体" w:cs="宋体"/>
                <w:kern w:val="0"/>
                <w:sz w:val="24"/>
              </w:rPr>
              <w:t>000万元，其中，</w:t>
            </w:r>
            <w:r>
              <w:rPr>
                <w:rFonts w:hint="eastAsia" w:ascii="宋体" w:hAnsi="宋体" w:cs="宋体"/>
                <w:bCs/>
                <w:color w:val="000000"/>
                <w:sz w:val="24"/>
              </w:rPr>
              <w:t>中源钛业出资额为人民币13,200万元</w:t>
            </w:r>
            <w:r>
              <w:rPr>
                <w:rFonts w:hint="eastAsia" w:ascii="宋体" w:hAnsi="宋体" w:cs="宋体"/>
                <w:kern w:val="0"/>
                <w:sz w:val="24"/>
              </w:rPr>
              <w:t>，占比66％；</w:t>
            </w:r>
            <w:r>
              <w:rPr>
                <w:rFonts w:hint="eastAsia" w:ascii="宋体" w:hAnsi="宋体" w:cs="宋体"/>
                <w:bCs/>
                <w:color w:val="000000"/>
                <w:sz w:val="24"/>
              </w:rPr>
              <w:t>西昌新钢业出资额为人民币6,800万元</w:t>
            </w:r>
            <w:r>
              <w:rPr>
                <w:rFonts w:hint="eastAsia" w:ascii="宋体" w:hAnsi="宋体" w:cs="宋体"/>
                <w:kern w:val="0"/>
                <w:sz w:val="24"/>
              </w:rPr>
              <w:t>，占比34％。合营企业拟主要从事钛材的生产与销售业务。本次交易后，</w:t>
            </w:r>
            <w:r>
              <w:rPr>
                <w:rFonts w:hint="eastAsia" w:ascii="宋体" w:hAnsi="宋体" w:cs="宋体"/>
                <w:bCs/>
                <w:color w:val="000000"/>
                <w:sz w:val="24"/>
              </w:rPr>
              <w:t>中源钛业</w:t>
            </w:r>
            <w:r>
              <w:rPr>
                <w:rFonts w:hint="eastAsia" w:ascii="宋体" w:hAnsi="宋体" w:cs="宋体"/>
                <w:kern w:val="0"/>
                <w:sz w:val="24"/>
              </w:rPr>
              <w:t>和</w:t>
            </w:r>
            <w:r>
              <w:rPr>
                <w:rFonts w:hint="eastAsia" w:ascii="宋体" w:hAnsi="宋体" w:cs="宋体"/>
                <w:bCs/>
                <w:color w:val="000000"/>
                <w:sz w:val="24"/>
              </w:rPr>
              <w:t>西昌新钢业</w:t>
            </w:r>
            <w:r>
              <w:rPr>
                <w:rFonts w:hint="eastAsia" w:ascii="宋体" w:hAnsi="宋体" w:cs="宋体"/>
                <w:kern w:val="0"/>
                <w:sz w:val="24"/>
              </w:rPr>
              <w:t>共同控制合营企业。</w:t>
            </w:r>
          </w:p>
        </w:tc>
      </w:tr>
      <w:tr w14:paraId="29876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jc w:val="center"/>
        </w:trPr>
        <w:tc>
          <w:tcPr>
            <w:tcW w:w="1940" w:type="dxa"/>
            <w:vMerge w:val="restart"/>
            <w:shd w:val="clear" w:color="auto" w:fill="D9D9D9"/>
            <w:vAlign w:val="center"/>
          </w:tcPr>
          <w:p w14:paraId="180E2B8B">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val="en-GB" w:eastAsia="zh-CN"/>
              </w:rPr>
              <w:t>参与集中的经营者简介（每个限</w:t>
            </w:r>
            <w:r>
              <w:rPr>
                <w:rFonts w:hint="eastAsia" w:ascii="宋体" w:hAnsi="宋体" w:cs="宋体"/>
                <w:bCs/>
                <w:color w:val="000000"/>
                <w:sz w:val="24"/>
                <w:szCs w:val="24"/>
                <w:lang w:eastAsia="zh-CN"/>
              </w:rPr>
              <w:t>100字以内</w:t>
            </w:r>
            <w:r>
              <w:rPr>
                <w:rFonts w:hint="eastAsia" w:ascii="宋体" w:hAnsi="宋体" w:cs="宋体"/>
                <w:bCs/>
                <w:color w:val="000000"/>
                <w:sz w:val="24"/>
                <w:szCs w:val="24"/>
                <w:lang w:val="en-GB" w:eastAsia="zh-CN"/>
              </w:rPr>
              <w:t>）</w:t>
            </w:r>
          </w:p>
        </w:tc>
        <w:tc>
          <w:tcPr>
            <w:tcW w:w="1607" w:type="dxa"/>
            <w:vAlign w:val="center"/>
          </w:tcPr>
          <w:p w14:paraId="72A9411E">
            <w:pPr>
              <w:pStyle w:val="3"/>
              <w:adjustRightInd w:val="0"/>
              <w:snapToGrid w:val="0"/>
              <w:spacing w:after="0" w:line="240" w:lineRule="auto"/>
              <w:rPr>
                <w:rFonts w:hint="eastAsia" w:ascii="宋体" w:hAnsi="宋体" w:cs="宋体"/>
                <w:bCs/>
                <w:color w:val="000000"/>
                <w:sz w:val="24"/>
                <w:szCs w:val="24"/>
                <w:lang w:val="en-GB" w:eastAsia="zh-CN"/>
              </w:rPr>
            </w:pPr>
            <w:r>
              <w:rPr>
                <w:rFonts w:hint="eastAsia" w:ascii="宋体" w:hAnsi="宋体" w:cs="宋体"/>
                <w:bCs/>
                <w:color w:val="000000"/>
                <w:sz w:val="24"/>
                <w:szCs w:val="24"/>
                <w:lang w:eastAsia="zh-CN"/>
              </w:rPr>
              <w:t>1.</w:t>
            </w:r>
            <w:r>
              <w:rPr>
                <w:rFonts w:hint="eastAsia" w:ascii="宋体" w:hAnsi="宋体" w:cs="宋体"/>
                <w:bCs/>
                <w:color w:val="000000"/>
                <w:sz w:val="24"/>
              </w:rPr>
              <w:t>中源钛业</w:t>
            </w:r>
          </w:p>
        </w:tc>
        <w:tc>
          <w:tcPr>
            <w:tcW w:w="6093" w:type="dxa"/>
            <w:vAlign w:val="center"/>
          </w:tcPr>
          <w:p w14:paraId="67836A0C">
            <w:pPr>
              <w:adjustRightInd w:val="0"/>
              <w:snapToGrid w:val="0"/>
              <w:rPr>
                <w:rFonts w:hint="eastAsia" w:ascii="宋体" w:hAnsi="宋体" w:cs="宋体"/>
                <w:bCs/>
                <w:color w:val="000000"/>
                <w:sz w:val="24"/>
                <w:lang w:bidi="ar-AE"/>
              </w:rPr>
            </w:pPr>
            <w:r>
              <w:rPr>
                <w:rFonts w:hint="eastAsia" w:ascii="宋体" w:hAnsi="宋体" w:cs="宋体"/>
                <w:bCs/>
                <w:color w:val="000000"/>
                <w:sz w:val="24"/>
              </w:rPr>
              <w:t>中源钛业</w:t>
            </w:r>
            <w:r>
              <w:rPr>
                <w:rFonts w:hint="eastAsia" w:ascii="宋体" w:hAnsi="宋体" w:cs="宋体"/>
                <w:bCs/>
                <w:color w:val="000000"/>
                <w:sz w:val="24"/>
                <w:lang w:bidi="ar-AE"/>
              </w:rPr>
              <w:t>于2022年10月20日成立于中国河南省，主要业务为钛及钛合金材料的研发、生产、销售与深加工服务，以及真空熔炼技术的综合应用与装备供应。。</w:t>
            </w:r>
          </w:p>
          <w:p w14:paraId="764754A6">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rPr>
              <w:t>中源钛业</w:t>
            </w:r>
            <w:r>
              <w:rPr>
                <w:rFonts w:hint="eastAsia" w:ascii="宋体" w:hAnsi="宋体" w:cs="宋体"/>
                <w:bCs/>
                <w:color w:val="000000"/>
                <w:sz w:val="24"/>
                <w:lang w:eastAsia="zh-CN" w:bidi="ar-AE"/>
              </w:rPr>
              <w:t>的最终控制人为自然人。</w:t>
            </w:r>
          </w:p>
        </w:tc>
      </w:tr>
      <w:tr w14:paraId="08B5B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continue"/>
            <w:shd w:val="clear" w:color="auto" w:fill="D9D9D9"/>
            <w:vAlign w:val="center"/>
          </w:tcPr>
          <w:p w14:paraId="4B49F3D6">
            <w:pPr>
              <w:pStyle w:val="3"/>
              <w:adjustRightInd w:val="0"/>
              <w:snapToGrid w:val="0"/>
              <w:spacing w:after="0" w:line="240" w:lineRule="auto"/>
              <w:rPr>
                <w:rFonts w:hint="eastAsia" w:ascii="宋体" w:hAnsi="宋体" w:cs="宋体"/>
                <w:bCs/>
                <w:color w:val="000000"/>
                <w:sz w:val="24"/>
                <w:szCs w:val="24"/>
                <w:lang w:eastAsia="zh-CN"/>
              </w:rPr>
            </w:pPr>
          </w:p>
        </w:tc>
        <w:tc>
          <w:tcPr>
            <w:tcW w:w="1607" w:type="dxa"/>
            <w:vAlign w:val="center"/>
          </w:tcPr>
          <w:p w14:paraId="2899669F">
            <w:pPr>
              <w:pStyle w:val="3"/>
              <w:adjustRightInd w:val="0"/>
              <w:snapToGrid w:val="0"/>
              <w:spacing w:after="0" w:line="240" w:lineRule="auto"/>
              <w:rPr>
                <w:rFonts w:hint="eastAsia" w:ascii="宋体" w:hAnsi="宋体" w:cs="宋体"/>
                <w:bCs/>
                <w:color w:val="000000"/>
                <w:sz w:val="24"/>
                <w:szCs w:val="24"/>
                <w:lang w:val="en-GB" w:eastAsia="zh-CN"/>
              </w:rPr>
            </w:pPr>
            <w:r>
              <w:rPr>
                <w:rFonts w:hint="eastAsia" w:ascii="宋体" w:hAnsi="宋体" w:cs="宋体"/>
                <w:bCs/>
                <w:color w:val="000000"/>
                <w:sz w:val="24"/>
                <w:szCs w:val="24"/>
                <w:lang w:eastAsia="zh-CN"/>
              </w:rPr>
              <w:t>2.</w:t>
            </w:r>
            <w:r>
              <w:rPr>
                <w:rFonts w:hint="eastAsia" w:ascii="宋体" w:hAnsi="宋体" w:cs="宋体"/>
                <w:bCs/>
                <w:color w:val="000000"/>
                <w:sz w:val="24"/>
              </w:rPr>
              <w:t>西昌新钢业</w:t>
            </w:r>
          </w:p>
        </w:tc>
        <w:tc>
          <w:tcPr>
            <w:tcW w:w="6093" w:type="dxa"/>
            <w:vAlign w:val="center"/>
          </w:tcPr>
          <w:p w14:paraId="74D98060">
            <w:pPr>
              <w:adjustRightInd w:val="0"/>
              <w:snapToGrid w:val="0"/>
              <w:rPr>
                <w:rFonts w:hint="eastAsia" w:ascii="宋体" w:hAnsi="宋体" w:cs="宋体"/>
                <w:bCs/>
                <w:color w:val="000000"/>
                <w:sz w:val="24"/>
                <w:lang w:bidi="ar-AE"/>
              </w:rPr>
            </w:pPr>
            <w:r>
              <w:rPr>
                <w:rFonts w:hint="eastAsia" w:ascii="宋体" w:hAnsi="宋体" w:cs="宋体"/>
                <w:bCs/>
                <w:color w:val="000000"/>
                <w:sz w:val="24"/>
              </w:rPr>
              <w:t>西昌新钢业</w:t>
            </w:r>
            <w:r>
              <w:rPr>
                <w:rFonts w:hint="eastAsia" w:ascii="宋体" w:hAnsi="宋体" w:cs="宋体"/>
                <w:bCs/>
                <w:color w:val="000000"/>
                <w:sz w:val="24"/>
                <w:lang w:bidi="ar-AE"/>
              </w:rPr>
              <w:t>于2001年12月31日成立于中国四川省，主要业务为金属结构、材料、制品的销售。</w:t>
            </w:r>
          </w:p>
          <w:p w14:paraId="203ABEC8">
            <w:pPr>
              <w:adjustRightInd w:val="0"/>
              <w:snapToGrid w:val="0"/>
              <w:rPr>
                <w:rFonts w:hint="eastAsia" w:ascii="宋体" w:hAnsi="宋体" w:cs="宋体"/>
                <w:bCs/>
                <w:color w:val="000000"/>
                <w:sz w:val="24"/>
              </w:rPr>
            </w:pPr>
            <w:r>
              <w:rPr>
                <w:rFonts w:hint="eastAsia" w:ascii="宋体" w:hAnsi="宋体" w:cs="宋体"/>
                <w:bCs/>
                <w:color w:val="000000"/>
                <w:sz w:val="24"/>
              </w:rPr>
              <w:t>西昌新钢业是国务院国有资产监督管理委员会下属企业。</w:t>
            </w:r>
            <w:bookmarkStart w:id="0" w:name="_GoBack"/>
            <w:bookmarkEnd w:id="0"/>
          </w:p>
        </w:tc>
      </w:tr>
      <w:tr w14:paraId="6C1B8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1940" w:type="dxa"/>
            <w:vMerge w:val="restart"/>
            <w:shd w:val="clear" w:color="auto" w:fill="D9D9D9"/>
            <w:vAlign w:val="center"/>
          </w:tcPr>
          <w:p w14:paraId="3D8B1382">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val="en-GB" w:eastAsia="zh-CN"/>
              </w:rPr>
              <w:t>简易案件理由（可以单选，也可以多选）</w:t>
            </w:r>
          </w:p>
        </w:tc>
        <w:tc>
          <w:tcPr>
            <w:tcW w:w="7700" w:type="dxa"/>
            <w:gridSpan w:val="2"/>
            <w:vAlign w:val="center"/>
          </w:tcPr>
          <w:p w14:paraId="1B782B22">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val="en-GB" w:eastAsia="zh-CN"/>
              </w:rPr>
              <w:sym w:font="Wingdings" w:char="00FE"/>
            </w:r>
            <w:r>
              <w:rPr>
                <w:rFonts w:hint="eastAsia" w:ascii="宋体" w:hAnsi="宋体" w:cs="宋体"/>
                <w:bCs/>
                <w:color w:val="000000"/>
                <w:sz w:val="24"/>
                <w:szCs w:val="24"/>
                <w:lang w:val="en-GB" w:eastAsia="zh-CN"/>
              </w:rPr>
              <w:t xml:space="preserve"> 1、在同一相关市场，所有参与集中的经营者所占市场份额之和小于</w:t>
            </w:r>
            <w:r>
              <w:rPr>
                <w:rFonts w:hint="eastAsia" w:ascii="宋体" w:hAnsi="宋体" w:cs="宋体"/>
                <w:bCs/>
                <w:color w:val="000000"/>
                <w:sz w:val="24"/>
                <w:szCs w:val="24"/>
                <w:lang w:eastAsia="zh-CN"/>
              </w:rPr>
              <w:t>15%</w:t>
            </w:r>
            <w:r>
              <w:rPr>
                <w:rFonts w:hint="eastAsia" w:ascii="宋体" w:hAnsi="宋体" w:cs="宋体"/>
                <w:bCs/>
                <w:color w:val="000000"/>
                <w:sz w:val="24"/>
                <w:szCs w:val="24"/>
                <w:lang w:val="en-GB" w:eastAsia="zh-CN"/>
              </w:rPr>
              <w:t>。</w:t>
            </w:r>
          </w:p>
        </w:tc>
      </w:tr>
      <w:tr w14:paraId="364CE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940" w:type="dxa"/>
            <w:vMerge w:val="continue"/>
            <w:shd w:val="clear" w:color="auto" w:fill="D9D9D9"/>
            <w:vAlign w:val="center"/>
          </w:tcPr>
          <w:p w14:paraId="7719C7EE">
            <w:pPr>
              <w:pStyle w:val="3"/>
              <w:adjustRightInd w:val="0"/>
              <w:snapToGrid w:val="0"/>
              <w:spacing w:after="0" w:line="240" w:lineRule="auto"/>
              <w:rPr>
                <w:rFonts w:hint="eastAsia" w:ascii="宋体" w:hAnsi="宋体" w:cs="宋体"/>
                <w:bCs/>
                <w:color w:val="000000"/>
                <w:sz w:val="24"/>
                <w:szCs w:val="24"/>
                <w:lang w:eastAsia="zh-CN"/>
              </w:rPr>
            </w:pPr>
          </w:p>
        </w:tc>
        <w:tc>
          <w:tcPr>
            <w:tcW w:w="7700" w:type="dxa"/>
            <w:gridSpan w:val="2"/>
            <w:vAlign w:val="center"/>
          </w:tcPr>
          <w:p w14:paraId="3317E22F">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val="en-GB" w:eastAsia="zh-CN"/>
              </w:rPr>
              <w:sym w:font="Wingdings" w:char="00FE"/>
            </w:r>
            <w:r>
              <w:rPr>
                <w:rFonts w:hint="eastAsia" w:ascii="宋体" w:hAnsi="宋体" w:cs="宋体"/>
                <w:bCs/>
                <w:color w:val="000000"/>
                <w:sz w:val="24"/>
                <w:szCs w:val="24"/>
                <w:lang w:val="en-GB" w:eastAsia="zh-CN"/>
              </w:rPr>
              <w:t xml:space="preserve">  2、存在上下游关系的参与集中的经营者，在上下游市场所占的市场份额均小于</w:t>
            </w:r>
            <w:r>
              <w:rPr>
                <w:rFonts w:hint="eastAsia" w:ascii="宋体" w:hAnsi="宋体" w:cs="宋体"/>
                <w:bCs/>
                <w:color w:val="000000"/>
                <w:sz w:val="24"/>
                <w:szCs w:val="24"/>
                <w:lang w:eastAsia="zh-CN"/>
              </w:rPr>
              <w:t>25%</w:t>
            </w:r>
            <w:r>
              <w:rPr>
                <w:rFonts w:hint="eastAsia" w:ascii="宋体" w:hAnsi="宋体" w:cs="宋体"/>
                <w:bCs/>
                <w:color w:val="000000"/>
                <w:sz w:val="24"/>
                <w:szCs w:val="24"/>
                <w:lang w:val="en-GB" w:eastAsia="zh-CN"/>
              </w:rPr>
              <w:t>。</w:t>
            </w:r>
          </w:p>
        </w:tc>
      </w:tr>
      <w:tr w14:paraId="3CECD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940" w:type="dxa"/>
            <w:vMerge w:val="continue"/>
            <w:shd w:val="clear" w:color="auto" w:fill="D9D9D9"/>
            <w:vAlign w:val="center"/>
          </w:tcPr>
          <w:p w14:paraId="405845A6">
            <w:pPr>
              <w:pStyle w:val="3"/>
              <w:adjustRightInd w:val="0"/>
              <w:snapToGrid w:val="0"/>
              <w:spacing w:after="0" w:line="240" w:lineRule="auto"/>
              <w:rPr>
                <w:rFonts w:hint="eastAsia" w:ascii="宋体" w:hAnsi="宋体" w:cs="宋体"/>
                <w:bCs/>
                <w:color w:val="000000"/>
                <w:sz w:val="24"/>
                <w:szCs w:val="24"/>
                <w:lang w:eastAsia="zh-CN"/>
              </w:rPr>
            </w:pPr>
          </w:p>
        </w:tc>
        <w:tc>
          <w:tcPr>
            <w:tcW w:w="7700" w:type="dxa"/>
            <w:gridSpan w:val="2"/>
            <w:vAlign w:val="center"/>
          </w:tcPr>
          <w:p w14:paraId="1574CD18">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val="en-GB" w:eastAsia="zh-CN"/>
              </w:rPr>
              <w:sym w:font="Wingdings" w:char="00A8"/>
            </w:r>
            <w:r>
              <w:rPr>
                <w:rFonts w:hint="eastAsia" w:ascii="宋体" w:hAnsi="宋体" w:cs="宋体"/>
                <w:bCs/>
                <w:color w:val="000000"/>
                <w:sz w:val="24"/>
                <w:szCs w:val="24"/>
                <w:lang w:val="en-GB" w:eastAsia="zh-CN"/>
              </w:rPr>
              <w:t xml:space="preserve">  3、不在同一相关市场、也不存在上下游关系的参与集中的经营者，在与交易有关的每个市场所占的份额均小于25%。</w:t>
            </w:r>
          </w:p>
        </w:tc>
      </w:tr>
      <w:tr w14:paraId="3DDFE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1940" w:type="dxa"/>
            <w:vMerge w:val="continue"/>
            <w:shd w:val="clear" w:color="auto" w:fill="D9D9D9"/>
            <w:vAlign w:val="center"/>
          </w:tcPr>
          <w:p w14:paraId="65441F14">
            <w:pPr>
              <w:pStyle w:val="3"/>
              <w:adjustRightInd w:val="0"/>
              <w:snapToGrid w:val="0"/>
              <w:spacing w:after="0" w:line="240" w:lineRule="auto"/>
              <w:rPr>
                <w:rFonts w:hint="eastAsia" w:ascii="宋体" w:hAnsi="宋体" w:cs="宋体"/>
                <w:bCs/>
                <w:color w:val="000000"/>
                <w:sz w:val="24"/>
                <w:szCs w:val="24"/>
                <w:lang w:eastAsia="zh-CN"/>
              </w:rPr>
            </w:pPr>
          </w:p>
        </w:tc>
        <w:tc>
          <w:tcPr>
            <w:tcW w:w="7700" w:type="dxa"/>
            <w:gridSpan w:val="2"/>
            <w:vAlign w:val="center"/>
          </w:tcPr>
          <w:p w14:paraId="01694099">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val="en-GB" w:eastAsia="zh-CN"/>
              </w:rPr>
              <w:sym w:font="Wingdings" w:char="00A8"/>
            </w:r>
            <w:r>
              <w:rPr>
                <w:rFonts w:hint="eastAsia" w:ascii="宋体" w:hAnsi="宋体" w:cs="宋体"/>
                <w:bCs/>
                <w:color w:val="000000"/>
                <w:sz w:val="24"/>
                <w:szCs w:val="24"/>
                <w:lang w:val="en-GB" w:eastAsia="zh-CN"/>
              </w:rPr>
              <w:t xml:space="preserve"> 4、参与集中的经营者在中国境外设立合营企业，合营企业不在中国境内从事经济活动。</w:t>
            </w:r>
          </w:p>
        </w:tc>
      </w:tr>
      <w:tr w14:paraId="48049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1940" w:type="dxa"/>
            <w:vMerge w:val="continue"/>
            <w:shd w:val="clear" w:color="auto" w:fill="D9D9D9"/>
            <w:vAlign w:val="center"/>
          </w:tcPr>
          <w:p w14:paraId="5233FDD4">
            <w:pPr>
              <w:pStyle w:val="3"/>
              <w:adjustRightInd w:val="0"/>
              <w:snapToGrid w:val="0"/>
              <w:spacing w:after="0" w:line="240" w:lineRule="auto"/>
              <w:rPr>
                <w:rFonts w:hint="eastAsia" w:ascii="宋体" w:hAnsi="宋体" w:cs="宋体"/>
                <w:bCs/>
                <w:color w:val="000000"/>
                <w:sz w:val="24"/>
                <w:szCs w:val="24"/>
                <w:lang w:eastAsia="zh-CN"/>
              </w:rPr>
            </w:pPr>
          </w:p>
        </w:tc>
        <w:tc>
          <w:tcPr>
            <w:tcW w:w="7700" w:type="dxa"/>
            <w:gridSpan w:val="2"/>
            <w:vAlign w:val="center"/>
          </w:tcPr>
          <w:p w14:paraId="2F9D7E57">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val="en-GB" w:eastAsia="zh-CN"/>
              </w:rPr>
              <w:sym w:font="Wingdings" w:char="00A8"/>
            </w:r>
            <w:r>
              <w:rPr>
                <w:rFonts w:hint="eastAsia" w:ascii="宋体" w:hAnsi="宋体" w:cs="宋体"/>
                <w:bCs/>
                <w:color w:val="000000"/>
                <w:sz w:val="24"/>
                <w:szCs w:val="24"/>
                <w:lang w:val="en-GB" w:eastAsia="zh-CN"/>
              </w:rPr>
              <w:t xml:space="preserve"> 5、参与集中的经营者收购境外企业股权或资产的，该境外企业不在中国境内从事经济活动。</w:t>
            </w:r>
          </w:p>
        </w:tc>
      </w:tr>
      <w:tr w14:paraId="08AE7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940" w:type="dxa"/>
            <w:vMerge w:val="continue"/>
            <w:shd w:val="clear" w:color="auto" w:fill="D9D9D9"/>
            <w:vAlign w:val="center"/>
          </w:tcPr>
          <w:p w14:paraId="74475EB5">
            <w:pPr>
              <w:pStyle w:val="3"/>
              <w:adjustRightInd w:val="0"/>
              <w:snapToGrid w:val="0"/>
              <w:spacing w:after="0" w:line="240" w:lineRule="auto"/>
              <w:rPr>
                <w:rFonts w:hint="eastAsia" w:ascii="宋体" w:hAnsi="宋体" w:cs="宋体"/>
                <w:bCs/>
                <w:color w:val="000000"/>
                <w:sz w:val="24"/>
                <w:szCs w:val="24"/>
                <w:lang w:eastAsia="zh-CN"/>
              </w:rPr>
            </w:pPr>
          </w:p>
        </w:tc>
        <w:tc>
          <w:tcPr>
            <w:tcW w:w="7700" w:type="dxa"/>
            <w:gridSpan w:val="2"/>
            <w:vAlign w:val="center"/>
          </w:tcPr>
          <w:p w14:paraId="71093120">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val="en-GB" w:eastAsia="zh-CN"/>
              </w:rPr>
              <w:sym w:font="Wingdings" w:char="00A8"/>
            </w:r>
            <w:r>
              <w:rPr>
                <w:rFonts w:hint="eastAsia" w:ascii="宋体" w:hAnsi="宋体" w:cs="宋体"/>
                <w:bCs/>
                <w:color w:val="000000"/>
                <w:sz w:val="24"/>
                <w:szCs w:val="24"/>
                <w:lang w:val="en-GB" w:eastAsia="zh-CN"/>
              </w:rPr>
              <w:t xml:space="preserve"> 6、由两个以上的经营者共同控制的合营企业，通过集中被其中一个或一个以上经营者控制。</w:t>
            </w:r>
          </w:p>
        </w:tc>
      </w:tr>
      <w:tr w14:paraId="1EA4B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jc w:val="center"/>
        </w:trPr>
        <w:tc>
          <w:tcPr>
            <w:tcW w:w="1940" w:type="dxa"/>
            <w:shd w:val="clear" w:color="auto" w:fill="D9D9D9"/>
            <w:vAlign w:val="center"/>
          </w:tcPr>
          <w:p w14:paraId="29193D95">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eastAsia="zh-CN"/>
              </w:rPr>
              <w:t>备注</w:t>
            </w:r>
          </w:p>
        </w:tc>
        <w:tc>
          <w:tcPr>
            <w:tcW w:w="7700" w:type="dxa"/>
            <w:gridSpan w:val="2"/>
            <w:vAlign w:val="center"/>
          </w:tcPr>
          <w:p w14:paraId="485C32C7">
            <w:pPr>
              <w:pStyle w:val="3"/>
              <w:adjustRightInd w:val="0"/>
              <w:snapToGrid w:val="0"/>
              <w:spacing w:after="0" w:line="240" w:lineRule="auto"/>
              <w:rPr>
                <w:rFonts w:hint="eastAsia" w:ascii="宋体" w:hAnsi="宋体" w:cs="宋体"/>
                <w:b/>
                <w:color w:val="000000"/>
                <w:sz w:val="24"/>
                <w:szCs w:val="24"/>
                <w:lang w:val="en-GB" w:eastAsia="zh-CN"/>
              </w:rPr>
            </w:pPr>
            <w:r>
              <w:rPr>
                <w:rFonts w:hint="eastAsia" w:ascii="宋体" w:hAnsi="宋体" w:cs="宋体"/>
                <w:b/>
                <w:color w:val="000000"/>
                <w:sz w:val="24"/>
                <w:szCs w:val="24"/>
                <w:lang w:val="en-GB" w:eastAsia="zh-CN"/>
              </w:rPr>
              <w:t>横向重叠：</w:t>
            </w:r>
          </w:p>
          <w:p w14:paraId="1414D83C">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val="en-GB" w:eastAsia="zh-CN"/>
              </w:rPr>
              <w:t>中国境内</w:t>
            </w:r>
            <w:r>
              <w:rPr>
                <w:rFonts w:hint="eastAsia" w:ascii="宋体" w:hAnsi="宋体" w:cs="宋体"/>
                <w:bCs/>
                <w:color w:val="000000"/>
                <w:sz w:val="24"/>
                <w:szCs w:val="24"/>
                <w:lang w:eastAsia="zh-CN"/>
              </w:rPr>
              <w:t>钛材市场：</w:t>
            </w:r>
          </w:p>
          <w:p w14:paraId="4F5C2FDB">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lang w:eastAsia="zh-CN"/>
              </w:rPr>
              <w:t>中源钛业</w:t>
            </w:r>
            <w:r>
              <w:rPr>
                <w:rFonts w:hint="eastAsia" w:ascii="宋体" w:hAnsi="宋体" w:cs="宋体"/>
                <w:bCs/>
                <w:color w:val="000000"/>
                <w:sz w:val="24"/>
                <w:szCs w:val="24"/>
                <w:lang w:eastAsia="zh-CN"/>
              </w:rPr>
              <w:t>：0-5%，</w:t>
            </w:r>
            <w:r>
              <w:rPr>
                <w:rFonts w:hint="eastAsia" w:ascii="宋体" w:hAnsi="宋体" w:cs="宋体"/>
                <w:bCs/>
                <w:color w:val="000000"/>
                <w:sz w:val="24"/>
                <w:lang w:eastAsia="zh-CN"/>
              </w:rPr>
              <w:t>西昌新钢业</w:t>
            </w:r>
            <w:r>
              <w:rPr>
                <w:rFonts w:hint="eastAsia" w:ascii="宋体" w:hAnsi="宋体" w:cs="宋体"/>
                <w:bCs/>
                <w:color w:val="000000"/>
                <w:sz w:val="24"/>
                <w:szCs w:val="24"/>
                <w:lang w:eastAsia="zh-CN"/>
              </w:rPr>
              <w:t>：0-5%，合营企业：0-5%，各方合计：5-10%</w:t>
            </w:r>
          </w:p>
        </w:tc>
      </w:tr>
    </w:tbl>
    <w:p w14:paraId="04AC109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G Times">
    <w:altName w:val="宋体"/>
    <w:panose1 w:val="00000000000000000000"/>
    <w:charset w:val="00"/>
    <w:family w:val="roman"/>
    <w:pitch w:val="default"/>
    <w:sig w:usb0="00000000"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M3MDgyOTJhYjk2MjU4Njc2NTQyMjhmMjlkMmE0NjUifQ=="/>
  </w:docVars>
  <w:rsids>
    <w:rsidRoot w:val="00033195"/>
    <w:rsid w:val="00033195"/>
    <w:rsid w:val="000403F9"/>
    <w:rsid w:val="000F6C6F"/>
    <w:rsid w:val="00103483"/>
    <w:rsid w:val="001717E7"/>
    <w:rsid w:val="00223EDB"/>
    <w:rsid w:val="00257F10"/>
    <w:rsid w:val="002A7D63"/>
    <w:rsid w:val="002F2389"/>
    <w:rsid w:val="00307BCF"/>
    <w:rsid w:val="003258A9"/>
    <w:rsid w:val="00353C4E"/>
    <w:rsid w:val="003634E4"/>
    <w:rsid w:val="003A3DD7"/>
    <w:rsid w:val="00405800"/>
    <w:rsid w:val="00411883"/>
    <w:rsid w:val="004903CD"/>
    <w:rsid w:val="004E3B8C"/>
    <w:rsid w:val="004E7DD6"/>
    <w:rsid w:val="005175EF"/>
    <w:rsid w:val="0065388E"/>
    <w:rsid w:val="0067748D"/>
    <w:rsid w:val="00681424"/>
    <w:rsid w:val="00727C00"/>
    <w:rsid w:val="00733355"/>
    <w:rsid w:val="00776AE0"/>
    <w:rsid w:val="007C4929"/>
    <w:rsid w:val="00824065"/>
    <w:rsid w:val="0084574D"/>
    <w:rsid w:val="00854F4B"/>
    <w:rsid w:val="00886B24"/>
    <w:rsid w:val="00891BC5"/>
    <w:rsid w:val="0092571E"/>
    <w:rsid w:val="009A1B65"/>
    <w:rsid w:val="009B3049"/>
    <w:rsid w:val="009D0DC4"/>
    <w:rsid w:val="00A01CAC"/>
    <w:rsid w:val="00A82E3E"/>
    <w:rsid w:val="00B538C5"/>
    <w:rsid w:val="00B625A1"/>
    <w:rsid w:val="00B63EFC"/>
    <w:rsid w:val="00BA5F3D"/>
    <w:rsid w:val="00BF6A2D"/>
    <w:rsid w:val="00C15979"/>
    <w:rsid w:val="00C50BCC"/>
    <w:rsid w:val="00DE057E"/>
    <w:rsid w:val="00DE278D"/>
    <w:rsid w:val="00E31D29"/>
    <w:rsid w:val="00E42155"/>
    <w:rsid w:val="00E91DF5"/>
    <w:rsid w:val="00EC7E0A"/>
    <w:rsid w:val="00F30E41"/>
    <w:rsid w:val="00F73ED9"/>
    <w:rsid w:val="00FC0944"/>
    <w:rsid w:val="00FF111A"/>
    <w:rsid w:val="0BD75BB1"/>
    <w:rsid w:val="150317C5"/>
    <w:rsid w:val="2CA13945"/>
    <w:rsid w:val="30224D9D"/>
    <w:rsid w:val="45593D39"/>
    <w:rsid w:val="59B44408"/>
    <w:rsid w:val="5A7907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14:ligatures w14:val="none"/>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First Indent"/>
    <w:basedOn w:val="3"/>
    <w:link w:val="11"/>
    <w:semiHidden/>
    <w:unhideWhenUsed/>
    <w:qFormat/>
    <w:uiPriority w:val="99"/>
    <w:pPr>
      <w:widowControl w:val="0"/>
      <w:spacing w:after="120" w:line="240" w:lineRule="auto"/>
      <w:ind w:firstLine="420" w:firstLineChars="100"/>
    </w:pPr>
    <w:rPr>
      <w:rFonts w:ascii="Times New Roman" w:hAnsi="Times New Roman"/>
      <w:kern w:val="2"/>
      <w:sz w:val="21"/>
      <w:szCs w:val="24"/>
      <w:lang w:eastAsia="zh-CN"/>
    </w:rPr>
  </w:style>
  <w:style w:type="paragraph" w:styleId="3">
    <w:name w:val="Body Text"/>
    <w:basedOn w:val="1"/>
    <w:link w:val="10"/>
    <w:qFormat/>
    <w:uiPriority w:val="0"/>
    <w:pPr>
      <w:widowControl/>
      <w:spacing w:after="240" w:line="288" w:lineRule="auto"/>
    </w:pPr>
    <w:rPr>
      <w:rFonts w:ascii="CG Times" w:hAnsi="CG Times"/>
      <w:kern w:val="0"/>
      <w:sz w:val="22"/>
      <w:szCs w:val="20"/>
      <w:lang w:eastAsia="en-US"/>
    </w:rPr>
  </w:style>
  <w:style w:type="paragraph" w:styleId="4">
    <w:name w:val="footer"/>
    <w:basedOn w:val="1"/>
    <w:link w:val="9"/>
    <w:unhideWhenUsed/>
    <w:uiPriority w:val="99"/>
    <w:pPr>
      <w:tabs>
        <w:tab w:val="center" w:pos="4153"/>
        <w:tab w:val="right" w:pos="8306"/>
      </w:tabs>
      <w:snapToGrid w:val="0"/>
      <w:jc w:val="left"/>
    </w:pPr>
    <w:rPr>
      <w:rFonts w:asciiTheme="minorHAnsi" w:hAnsiTheme="minorHAnsi" w:eastAsiaTheme="minorEastAsia" w:cstheme="minorBidi"/>
      <w:sz w:val="18"/>
      <w:szCs w:val="18"/>
      <w14:ligatures w14:val="standardContextual"/>
    </w:rPr>
  </w:style>
  <w:style w:type="paragraph" w:styleId="5">
    <w:name w:val="header"/>
    <w:basedOn w:val="1"/>
    <w:link w:val="8"/>
    <w:unhideWhenUsed/>
    <w:qFormat/>
    <w:uiPriority w:val="99"/>
    <w:pPr>
      <w:tabs>
        <w:tab w:val="center" w:pos="4153"/>
        <w:tab w:val="right" w:pos="8306"/>
      </w:tabs>
      <w:snapToGrid w:val="0"/>
      <w:jc w:val="center"/>
    </w:pPr>
    <w:rPr>
      <w:rFonts w:asciiTheme="minorHAnsi" w:hAnsiTheme="minorHAnsi" w:eastAsiaTheme="minorEastAsia" w:cstheme="minorBidi"/>
      <w:sz w:val="18"/>
      <w:szCs w:val="18"/>
      <w14:ligatures w14:val="standardContextual"/>
    </w:rPr>
  </w:style>
  <w:style w:type="character" w:customStyle="1" w:styleId="8">
    <w:name w:val="页眉 字符"/>
    <w:basedOn w:val="7"/>
    <w:link w:val="5"/>
    <w:uiPriority w:val="99"/>
    <w:rPr>
      <w:sz w:val="18"/>
      <w:szCs w:val="18"/>
    </w:rPr>
  </w:style>
  <w:style w:type="character" w:customStyle="1" w:styleId="9">
    <w:name w:val="页脚 字符"/>
    <w:basedOn w:val="7"/>
    <w:link w:val="4"/>
    <w:uiPriority w:val="99"/>
    <w:rPr>
      <w:sz w:val="18"/>
      <w:szCs w:val="18"/>
    </w:rPr>
  </w:style>
  <w:style w:type="character" w:customStyle="1" w:styleId="10">
    <w:name w:val="正文文本 字符"/>
    <w:basedOn w:val="7"/>
    <w:link w:val="3"/>
    <w:uiPriority w:val="0"/>
    <w:rPr>
      <w:rFonts w:ascii="CG Times" w:hAnsi="CG Times" w:eastAsia="宋体" w:cs="Times New Roman"/>
      <w:kern w:val="0"/>
      <w:sz w:val="22"/>
      <w:szCs w:val="20"/>
      <w:lang w:eastAsia="en-US"/>
      <w14:ligatures w14:val="none"/>
    </w:rPr>
  </w:style>
  <w:style w:type="character" w:customStyle="1" w:styleId="11">
    <w:name w:val="正文文本首行缩进 字符"/>
    <w:basedOn w:val="10"/>
    <w:link w:val="2"/>
    <w:semiHidden/>
    <w:uiPriority w:val="99"/>
    <w:rPr>
      <w:rFonts w:ascii="CG Times" w:hAnsi="CG Times" w:eastAsia="宋体" w:cs="Times New Roman"/>
      <w:kern w:val="0"/>
      <w:sz w:val="22"/>
      <w:szCs w:val="20"/>
      <w:lang w:eastAsia="en-US"/>
      <w14:ligatures w14: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715</Words>
  <Characters>773</Characters>
  <Lines>5</Lines>
  <Paragraphs>1</Paragraphs>
  <TotalTime>4</TotalTime>
  <ScaleCrop>false</ScaleCrop>
  <LinksUpToDate>false</LinksUpToDate>
  <CharactersWithSpaces>783</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2024-03-29T06:14:00Z</dcterms:created>
  <dc:creator>XSF</dc:creator>
  <cp:lastModifiedBy>WPS_1601693085</cp:lastModifiedBy>
  <dcterms:modified xsi:type="dcterms:W3CDTF">2024-08-06T02:17:25Z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5A4FB32AF24E49D2873E3BC5D5F01328_12</vt:lpwstr>
  </property>
</Properties>
</file>