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E6086">
      <w:pPr>
        <w:widowControl/>
        <w:snapToGrid w:val="0"/>
        <w:spacing w:after="240" w:line="594" w:lineRule="exact"/>
        <w:jc w:val="center"/>
        <w:rPr>
          <w:rFonts w:ascii="方正小标宋简体" w:hAnsi="方正小标宋简体" w:eastAsia="方正小标宋简体" w:cs="方正小标宋简体"/>
          <w:bCs/>
          <w:kern w:val="0"/>
          <w:sz w:val="36"/>
          <w:szCs w:val="44"/>
          <w:lang w:val="en-GB" w:bidi="ar-AE"/>
        </w:rPr>
      </w:pPr>
      <w:bookmarkStart w:id="0" w:name="_GoBack"/>
      <w:bookmarkEnd w:id="0"/>
      <w:r>
        <w:rPr>
          <w:rFonts w:hint="eastAsia" w:ascii="方正小标宋简体" w:hAnsi="方正小标宋简体" w:eastAsia="方正小标宋简体" w:cs="方正小标宋简体"/>
          <w:kern w:val="0"/>
          <w:sz w:val="44"/>
          <w:szCs w:val="44"/>
          <w:lang w:val="en-GB" w:bidi="ar-AE"/>
        </w:rPr>
        <w:t>经营者集中简易案件公示表</w:t>
      </w:r>
    </w:p>
    <w:tbl>
      <w:tblPr>
        <w:tblStyle w:val="12"/>
        <w:tblW w:w="9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66"/>
      </w:tblGrid>
      <w:tr w14:paraId="5FDD0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1940" w:type="dxa"/>
            <w:shd w:val="clear" w:color="auto" w:fill="auto"/>
            <w:vAlign w:val="center"/>
          </w:tcPr>
          <w:p w14:paraId="2B1B927B">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14:textFill>
                  <w14:solidFill>
                    <w14:schemeClr w14:val="tx1"/>
                  </w14:solidFill>
                </w14:textFill>
              </w:rPr>
            </w:pPr>
            <w:r>
              <w:rPr>
                <w:rFonts w:hint="eastAsia" w:asciiTheme="minorEastAsia" w:hAnsiTheme="minorEastAsia" w:eastAsiaTheme="minorEastAsia" w:cstheme="minorEastAsia"/>
                <w:b/>
                <w:color w:val="000000" w:themeColor="text1"/>
                <w:sz w:val="24"/>
                <w:szCs w:val="24"/>
                <w14:textFill>
                  <w14:solidFill>
                    <w14:schemeClr w14:val="tx1"/>
                  </w14:solidFill>
                </w14:textFill>
              </w:rPr>
              <w:t>案件名称</w:t>
            </w:r>
          </w:p>
        </w:tc>
        <w:tc>
          <w:tcPr>
            <w:tcW w:w="7673" w:type="dxa"/>
            <w:gridSpan w:val="2"/>
            <w:vAlign w:val="center"/>
          </w:tcPr>
          <w:p w14:paraId="0F7E905D">
            <w:pPr>
              <w:widowControl/>
              <w:adjustRightInd w:val="0"/>
              <w:snapToGrid w:val="0"/>
              <w:rPr>
                <w:bCs/>
                <w:color w:val="000000" w:themeColor="text1"/>
                <w:kern w:val="0"/>
                <w:sz w:val="24"/>
                <w:lang w:bidi="ar-AE"/>
                <w14:textFill>
                  <w14:solidFill>
                    <w14:schemeClr w14:val="tx1"/>
                  </w14:solidFill>
                </w14:textFill>
              </w:rPr>
            </w:pPr>
            <w:r>
              <w:rPr>
                <w:bCs/>
                <w:color w:val="000000" w:themeColor="text1"/>
                <w:kern w:val="0"/>
                <w:sz w:val="24"/>
                <w:lang w:bidi="ar-AE"/>
                <w14:textFill>
                  <w14:solidFill>
                    <w14:schemeClr w14:val="tx1"/>
                  </w14:solidFill>
                </w14:textFill>
              </w:rPr>
              <w:t>非洲全球物流股份公司与丰田通商株式会社收购巴丁班全球门户码头有限公司股权案</w:t>
            </w:r>
          </w:p>
        </w:tc>
      </w:tr>
      <w:tr w14:paraId="0741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9" w:hRule="atLeast"/>
          <w:jc w:val="center"/>
        </w:trPr>
        <w:tc>
          <w:tcPr>
            <w:tcW w:w="1940" w:type="dxa"/>
            <w:shd w:val="clear" w:color="auto" w:fill="auto"/>
            <w:vAlign w:val="center"/>
          </w:tcPr>
          <w:p w14:paraId="133074D7">
            <w:pPr>
              <w:pStyle w:val="7"/>
              <w:adjustRightInd w:val="0"/>
              <w:snapToGrid w:val="0"/>
              <w:spacing w:after="0"/>
              <w:jc w:val="center"/>
              <w:rPr>
                <w:rFonts w:asciiTheme="minorEastAsia" w:hAnsiTheme="minorEastAsia" w:eastAsiaTheme="minorEastAsia" w:cstheme="minorEastAsia"/>
                <w:b/>
                <w:color w:val="000000" w:themeColor="text1"/>
                <w:sz w:val="24"/>
                <w:szCs w:val="24"/>
                <w:lang w:eastAsia="zh-CN"/>
                <w14:textFill>
                  <w14:solidFill>
                    <w14:schemeClr w14:val="tx1"/>
                  </w14:solidFill>
                </w14:textFill>
              </w:rPr>
            </w:pPr>
            <w:r>
              <w:rPr>
                <w:rFonts w:hint="eastAsia" w:asciiTheme="minorEastAsia" w:hAnsiTheme="minorEastAsia" w:eastAsiaTheme="minorEastAsia" w:cstheme="minorEastAsia"/>
                <w:b/>
                <w:color w:val="000000" w:themeColor="text1"/>
                <w:sz w:val="24"/>
                <w:szCs w:val="24"/>
                <w:lang w:eastAsia="zh-CN"/>
                <w14:textFill>
                  <w14:solidFill>
                    <w14:schemeClr w14:val="tx1"/>
                  </w14:solidFill>
                </w14:textFill>
              </w:rPr>
              <w:t>交易概况</w:t>
            </w:r>
          </w:p>
          <w:p w14:paraId="1D9D145F">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color w:val="000000" w:themeColor="text1"/>
                <w:sz w:val="24"/>
                <w:szCs w:val="24"/>
                <w:lang w:eastAsia="zh-CN"/>
                <w14:textFill>
                  <w14:solidFill>
                    <w14:schemeClr w14:val="tx1"/>
                  </w14:solidFill>
                </w14:textFill>
              </w:rPr>
              <w:t>（限200字内）</w:t>
            </w:r>
          </w:p>
        </w:tc>
        <w:tc>
          <w:tcPr>
            <w:tcW w:w="7673" w:type="dxa"/>
            <w:gridSpan w:val="2"/>
            <w:vAlign w:val="center"/>
          </w:tcPr>
          <w:p w14:paraId="74A0F9E0">
            <w:pPr>
              <w:adjustRightInd w:val="0"/>
              <w:snapToGrid w:val="0"/>
              <w:rPr>
                <w:bCs/>
                <w:color w:val="000000" w:themeColor="text1"/>
                <w:kern w:val="0"/>
                <w:sz w:val="24"/>
                <w:lang w:bidi="ar-AE"/>
                <w14:textFill>
                  <w14:solidFill>
                    <w14:schemeClr w14:val="tx1"/>
                  </w14:solidFill>
                </w14:textFill>
              </w:rPr>
            </w:pPr>
            <w:r>
              <w:rPr>
                <w:bCs/>
                <w:color w:val="000000" w:themeColor="text1"/>
                <w:kern w:val="0"/>
                <w:sz w:val="24"/>
                <w:lang w:bidi="ar-AE"/>
                <w14:textFill>
                  <w14:solidFill>
                    <w14:schemeClr w14:val="tx1"/>
                  </w14:solidFill>
                </w14:textFill>
              </w:rPr>
              <w:t>非洲全球物流股份公司（“非洲全球物流”）、丰田通商株式会社（“丰田通商”）与印度尼西亚萨姆达拉港口有限公司（“萨姆达拉”）签署协议，非洲全球物流和丰田通商</w:t>
            </w:r>
            <w:r>
              <w:rPr>
                <w:sz w:val="24"/>
                <w:szCs w:val="36"/>
              </w:rPr>
              <w:t>拟</w:t>
            </w:r>
            <w:r>
              <w:rPr>
                <w:bCs/>
                <w:color w:val="000000" w:themeColor="text1"/>
                <w:kern w:val="0"/>
                <w:sz w:val="24"/>
                <w:lang w:bidi="ar-AE"/>
                <w14:textFill>
                  <w14:solidFill>
                    <w14:schemeClr w14:val="tx1"/>
                  </w14:solidFill>
                </w14:textFill>
              </w:rPr>
              <w:t>分别收购巴丁班全球门户码头有限公司（“巴丁班公司”）45%和34%股权。巴丁班公司主要提供集装箱码头服务。交易前，萨姆达拉（及其关联公司）持有巴丁班公司100%的股权，单独控制巴丁班公司。交易后，非洲全球物流、丰田通商和萨姆达拉将分别持有巴丁班公司45%、34%和21%的股权，并共同控制巴丁班公司。</w:t>
            </w:r>
          </w:p>
        </w:tc>
      </w:tr>
      <w:tr w14:paraId="0AE2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7" w:hRule="atLeast"/>
          <w:jc w:val="center"/>
        </w:trPr>
        <w:tc>
          <w:tcPr>
            <w:tcW w:w="1940" w:type="dxa"/>
            <w:vMerge w:val="restart"/>
            <w:shd w:val="clear" w:color="auto" w:fill="auto"/>
            <w:vAlign w:val="center"/>
          </w:tcPr>
          <w:p w14:paraId="03140973">
            <w:pPr>
              <w:pStyle w:val="7"/>
              <w:adjustRightInd w:val="0"/>
              <w:snapToGrid w:val="0"/>
              <w:spacing w:after="0"/>
              <w:jc w:val="center"/>
              <w:rPr>
                <w:rFonts w:asciiTheme="minorEastAsia" w:hAnsiTheme="minorEastAsia" w:eastAsiaTheme="minorEastAsia" w:cstheme="minorEastAsia"/>
                <w:b/>
                <w:color w:val="000000" w:themeColor="text1"/>
                <w:sz w:val="24"/>
                <w:szCs w:val="24"/>
                <w:lang w:eastAsia="zh-CN"/>
                <w14:textFill>
                  <w14:solidFill>
                    <w14:schemeClr w14:val="tx1"/>
                  </w14:solidFill>
                </w14:textFill>
              </w:rPr>
            </w:pPr>
            <w:r>
              <w:rPr>
                <w:rFonts w:hint="eastAsia" w:asciiTheme="minorEastAsia" w:hAnsiTheme="minorEastAsia" w:eastAsiaTheme="minorEastAsia" w:cstheme="minorEastAsia"/>
                <w:b/>
                <w:color w:val="000000" w:themeColor="text1"/>
                <w:sz w:val="24"/>
                <w:szCs w:val="24"/>
                <w:lang w:eastAsia="zh-CN"/>
                <w14:textFill>
                  <w14:solidFill>
                    <w14:schemeClr w14:val="tx1"/>
                  </w14:solidFill>
                </w14:textFill>
              </w:rPr>
              <w:t>参与集中的经营者简介</w:t>
            </w:r>
          </w:p>
          <w:p w14:paraId="1DFDA2FB">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color w:val="000000" w:themeColor="text1"/>
                <w:sz w:val="24"/>
                <w:szCs w:val="24"/>
                <w:lang w:eastAsia="zh-CN"/>
                <w14:textFill>
                  <w14:solidFill>
                    <w14:schemeClr w14:val="tx1"/>
                  </w14:solidFill>
                </w14:textFill>
              </w:rPr>
              <w:t>（每个限</w:t>
            </w:r>
            <w:r>
              <w:rPr>
                <w:rFonts w:hint="eastAsia" w:asciiTheme="minorEastAsia" w:hAnsiTheme="minorEastAsia" w:eastAsiaTheme="minorEastAsia" w:cstheme="minorEastAsia"/>
                <w:b/>
                <w:color w:val="000000" w:themeColor="text1"/>
                <w:sz w:val="24"/>
                <w:szCs w:val="24"/>
                <w:lang w:val="en-US" w:eastAsia="zh-CN"/>
                <w14:textFill>
                  <w14:solidFill>
                    <w14:schemeClr w14:val="tx1"/>
                  </w14:solidFill>
                </w14:textFill>
              </w:rPr>
              <w:t>100字以内</w:t>
            </w:r>
            <w:r>
              <w:rPr>
                <w:rFonts w:hint="eastAsia" w:asciiTheme="minorEastAsia" w:hAnsiTheme="minorEastAsia" w:eastAsiaTheme="minorEastAsia" w:cstheme="minorEastAsia"/>
                <w:b/>
                <w:color w:val="000000" w:themeColor="text1"/>
                <w:sz w:val="24"/>
                <w:szCs w:val="24"/>
                <w:lang w:eastAsia="zh-CN"/>
                <w14:textFill>
                  <w14:solidFill>
                    <w14:schemeClr w14:val="tx1"/>
                  </w14:solidFill>
                </w14:textFill>
              </w:rPr>
              <w:t>）</w:t>
            </w:r>
          </w:p>
        </w:tc>
        <w:tc>
          <w:tcPr>
            <w:tcW w:w="1607" w:type="dxa"/>
            <w:tcBorders>
              <w:top w:val="single" w:color="auto" w:sz="4" w:space="0"/>
              <w:left w:val="single" w:color="auto" w:sz="4" w:space="0"/>
              <w:bottom w:val="single" w:color="auto" w:sz="4" w:space="0"/>
              <w:right w:val="single" w:color="auto" w:sz="4" w:space="0"/>
            </w:tcBorders>
            <w:vAlign w:val="center"/>
          </w:tcPr>
          <w:p w14:paraId="7949CDDC">
            <w:pPr>
              <w:pStyle w:val="7"/>
              <w:adjustRightInd w:val="0"/>
              <w:snapToGrid w:val="0"/>
              <w:spacing w:after="0"/>
              <w:rPr>
                <w:rFonts w:cs="Times New Roman"/>
                <w:bCs/>
                <w:color w:val="000000" w:themeColor="text1"/>
                <w:sz w:val="24"/>
                <w:szCs w:val="24"/>
                <w:lang w:eastAsia="zh-CN"/>
                <w14:textFill>
                  <w14:solidFill>
                    <w14:schemeClr w14:val="tx1"/>
                  </w14:solidFill>
                </w14:textFill>
              </w:rPr>
            </w:pPr>
            <w:r>
              <w:rPr>
                <w:rFonts w:cs="Times New Roman"/>
                <w:bCs/>
                <w:color w:val="000000"/>
                <w:sz w:val="24"/>
                <w:szCs w:val="24"/>
                <w:lang w:val="en-US" w:eastAsia="zh-CN"/>
              </w:rPr>
              <w:t>1.</w:t>
            </w:r>
            <w:r>
              <w:rPr>
                <w:rFonts w:cs="Times New Roman"/>
                <w:bCs/>
                <w:sz w:val="24"/>
                <w:szCs w:val="24"/>
                <w:lang w:val="en-US"/>
              </w:rPr>
              <w:t>非洲全球物流</w:t>
            </w:r>
          </w:p>
        </w:tc>
        <w:tc>
          <w:tcPr>
            <w:tcW w:w="6066" w:type="dxa"/>
            <w:tcBorders>
              <w:top w:val="single" w:color="auto" w:sz="4" w:space="0"/>
              <w:left w:val="single" w:color="auto" w:sz="4" w:space="0"/>
              <w:bottom w:val="single" w:color="auto" w:sz="4" w:space="0"/>
              <w:right w:val="single" w:color="auto" w:sz="4" w:space="0"/>
            </w:tcBorders>
            <w:vAlign w:val="center"/>
          </w:tcPr>
          <w:p w14:paraId="0341CC71">
            <w:pPr>
              <w:rPr>
                <w:sz w:val="24"/>
              </w:rPr>
            </w:pPr>
            <w:r>
              <w:rPr>
                <w:sz w:val="24"/>
              </w:rPr>
              <w:t>非洲全球物流于2009年12月31日成立于塞浦路斯，主要在非洲大陆从事多式联运、物流以及港口特许经营和铁路基础设施管理业务。</w:t>
            </w:r>
          </w:p>
          <w:p w14:paraId="76394F2B">
            <w:pPr>
              <w:rPr>
                <w:sz w:val="24"/>
              </w:rPr>
            </w:pPr>
            <w:r>
              <w:rPr>
                <w:sz w:val="24"/>
              </w:rPr>
              <w:t>非洲全球物流最终控制人为地中海航运控股有限公司</w:t>
            </w:r>
            <w:r>
              <w:rPr>
                <w:rFonts w:hint="eastAsia"/>
                <w:sz w:val="24"/>
              </w:rPr>
              <w:t>（“</w:t>
            </w:r>
            <w:r>
              <w:rPr>
                <w:sz w:val="24"/>
              </w:rPr>
              <w:t>地中海航运集团</w:t>
            </w:r>
            <w:r>
              <w:rPr>
                <w:rFonts w:hint="eastAsia"/>
                <w:sz w:val="24"/>
              </w:rPr>
              <w:t>”）</w:t>
            </w:r>
            <w:r>
              <w:rPr>
                <w:sz w:val="24"/>
              </w:rPr>
              <w:t>，</w:t>
            </w:r>
            <w:r>
              <w:rPr>
                <w:rFonts w:hint="eastAsia"/>
                <w:sz w:val="24"/>
              </w:rPr>
              <w:t>其集团范围内</w:t>
            </w:r>
            <w:r>
              <w:rPr>
                <w:rFonts w:hint="eastAsia"/>
                <w:sz w:val="24"/>
                <w:lang w:val="en-US" w:eastAsia="zh-CN"/>
              </w:rPr>
              <w:t>的主要业务为在</w:t>
            </w:r>
            <w:r>
              <w:rPr>
                <w:sz w:val="24"/>
              </w:rPr>
              <w:t>全球范围内提供集装箱班轮运输服务及其附属服务、集装箱装卸服务、码头管理服务和港口拖轮服务、海上邮轮服务。</w:t>
            </w:r>
          </w:p>
        </w:tc>
      </w:tr>
      <w:tr w14:paraId="5BE6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6" w:hRule="atLeast"/>
          <w:jc w:val="center"/>
        </w:trPr>
        <w:tc>
          <w:tcPr>
            <w:tcW w:w="1940" w:type="dxa"/>
            <w:vMerge w:val="continue"/>
            <w:shd w:val="clear" w:color="auto" w:fill="auto"/>
            <w:vAlign w:val="center"/>
          </w:tcPr>
          <w:p w14:paraId="136AFD53">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p>
        </w:tc>
        <w:tc>
          <w:tcPr>
            <w:tcW w:w="1607" w:type="dxa"/>
            <w:vAlign w:val="center"/>
          </w:tcPr>
          <w:p w14:paraId="0BC665C2">
            <w:pPr>
              <w:pStyle w:val="7"/>
              <w:adjustRightInd w:val="0"/>
              <w:snapToGrid w:val="0"/>
              <w:spacing w:after="0"/>
              <w:rPr>
                <w:rFonts w:cs="Times New Roman"/>
                <w:bCs/>
                <w:color w:val="000000" w:themeColor="text1"/>
                <w:sz w:val="24"/>
                <w:szCs w:val="24"/>
                <w:lang w:eastAsia="zh-CN"/>
                <w14:textFill>
                  <w14:solidFill>
                    <w14:schemeClr w14:val="tx1"/>
                  </w14:solidFill>
                </w14:textFill>
              </w:rPr>
            </w:pPr>
            <w:r>
              <w:rPr>
                <w:rFonts w:cs="Times New Roman"/>
                <w:bCs/>
                <w:color w:val="000000"/>
                <w:sz w:val="24"/>
                <w:szCs w:val="24"/>
                <w:lang w:val="en-US" w:eastAsia="zh-CN"/>
              </w:rPr>
              <w:t>2.</w:t>
            </w:r>
            <w:r>
              <w:rPr>
                <w:rFonts w:cs="Times New Roman"/>
                <w:bCs/>
                <w:sz w:val="24"/>
                <w:szCs w:val="24"/>
                <w:lang w:val="en-US"/>
              </w:rPr>
              <w:t>丰田通商</w:t>
            </w:r>
          </w:p>
        </w:tc>
        <w:tc>
          <w:tcPr>
            <w:tcW w:w="6066" w:type="dxa"/>
            <w:vAlign w:val="center"/>
          </w:tcPr>
          <w:p w14:paraId="6CD1BD74">
            <w:pPr>
              <w:rPr>
                <w:sz w:val="24"/>
              </w:rPr>
            </w:pPr>
            <w:r>
              <w:rPr>
                <w:sz w:val="24"/>
              </w:rPr>
              <w:t>丰田通商于1948年7月1日成立于日本，为东京和名古屋证券交易所上市公司，主要业务为金属、全球零部件和物流、汽车、机械、能源和成套设备、化工和电子、食品材料和生活工业。</w:t>
            </w:r>
          </w:p>
          <w:p w14:paraId="19E0F86C">
            <w:pPr>
              <w:rPr>
                <w:bCs/>
                <w:color w:val="000000" w:themeColor="text1"/>
                <w:kern w:val="0"/>
                <w:sz w:val="24"/>
                <w:lang w:val="en-GB" w:bidi="ar-AE"/>
                <w14:textFill>
                  <w14:solidFill>
                    <w14:schemeClr w14:val="tx1"/>
                  </w14:solidFill>
                </w14:textFill>
              </w:rPr>
            </w:pPr>
            <w:r>
              <w:rPr>
                <w:sz w:val="24"/>
              </w:rPr>
              <w:t>丰田通商无最终控制人。</w:t>
            </w:r>
          </w:p>
        </w:tc>
      </w:tr>
      <w:tr w14:paraId="3389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1940" w:type="dxa"/>
            <w:vMerge w:val="continue"/>
            <w:shd w:val="clear" w:color="auto" w:fill="auto"/>
            <w:vAlign w:val="center"/>
          </w:tcPr>
          <w:p w14:paraId="17A0520C">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p>
        </w:tc>
        <w:tc>
          <w:tcPr>
            <w:tcW w:w="1607" w:type="dxa"/>
            <w:vAlign w:val="center"/>
          </w:tcPr>
          <w:p w14:paraId="48EB41DE">
            <w:pPr>
              <w:pStyle w:val="7"/>
              <w:adjustRightInd w:val="0"/>
              <w:snapToGrid w:val="0"/>
              <w:spacing w:after="0"/>
              <w:rPr>
                <w:rFonts w:cs="Times New Roman"/>
                <w:bCs/>
                <w:color w:val="000000" w:themeColor="text1"/>
                <w:sz w:val="24"/>
                <w:szCs w:val="24"/>
                <w:lang w:val="en-US" w:eastAsia="zh-CN"/>
                <w14:textFill>
                  <w14:solidFill>
                    <w14:schemeClr w14:val="tx1"/>
                  </w14:solidFill>
                </w14:textFill>
              </w:rPr>
            </w:pPr>
            <w:r>
              <w:rPr>
                <w:rFonts w:cs="Times New Roman"/>
                <w:bCs/>
                <w:color w:val="000000"/>
                <w:sz w:val="24"/>
                <w:szCs w:val="24"/>
                <w:lang w:val="en-US" w:eastAsia="zh-CN"/>
              </w:rPr>
              <w:t>3.萨姆达拉</w:t>
            </w:r>
          </w:p>
        </w:tc>
        <w:tc>
          <w:tcPr>
            <w:tcW w:w="6066" w:type="dxa"/>
            <w:vAlign w:val="center"/>
          </w:tcPr>
          <w:p w14:paraId="5AEE66BF">
            <w:pPr>
              <w:rPr>
                <w:sz w:val="24"/>
              </w:rPr>
            </w:pPr>
            <w:r>
              <w:rPr>
                <w:sz w:val="24"/>
              </w:rPr>
              <w:t>萨姆达拉于2014年10月28日成立于印度尼西亚，主要在印度尼西亚提供港口服务。</w:t>
            </w:r>
          </w:p>
          <w:p w14:paraId="12CDBA84">
            <w:pPr>
              <w:rPr>
                <w:sz w:val="24"/>
              </w:rPr>
            </w:pPr>
            <w:r>
              <w:rPr>
                <w:sz w:val="24"/>
              </w:rPr>
              <w:t>萨姆达拉最终控制人为自然人，</w:t>
            </w:r>
            <w:r>
              <w:rPr>
                <w:rFonts w:hint="eastAsia"/>
                <w:sz w:val="24"/>
              </w:rPr>
              <w:t>其</w:t>
            </w:r>
            <w:r>
              <w:rPr>
                <w:sz w:val="24"/>
              </w:rPr>
              <w:t xml:space="preserve">通过萨姆达拉在印度尼西亚提供港口服务。 </w:t>
            </w:r>
          </w:p>
        </w:tc>
      </w:tr>
      <w:tr w14:paraId="30D2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940" w:type="dxa"/>
            <w:vMerge w:val="restart"/>
            <w:shd w:val="clear" w:color="auto" w:fill="auto"/>
            <w:vAlign w:val="center"/>
          </w:tcPr>
          <w:p w14:paraId="19C14310">
            <w:pPr>
              <w:pStyle w:val="7"/>
              <w:adjustRightInd w:val="0"/>
              <w:snapToGrid w:val="0"/>
              <w:spacing w:after="0"/>
              <w:jc w:val="center"/>
              <w:rPr>
                <w:rFonts w:asciiTheme="minorEastAsia" w:hAnsiTheme="minorEastAsia" w:eastAsiaTheme="minorEastAsia" w:cstheme="minorEastAsia"/>
                <w:b/>
                <w:color w:val="000000" w:themeColor="text1"/>
                <w:sz w:val="24"/>
                <w:szCs w:val="24"/>
                <w:lang w:eastAsia="zh-CN"/>
                <w14:textFill>
                  <w14:solidFill>
                    <w14:schemeClr w14:val="tx1"/>
                  </w14:solidFill>
                </w14:textFill>
              </w:rPr>
            </w:pPr>
            <w:r>
              <w:rPr>
                <w:rFonts w:hint="eastAsia" w:asciiTheme="minorEastAsia" w:hAnsiTheme="minorEastAsia" w:eastAsiaTheme="minorEastAsia" w:cstheme="minorEastAsia"/>
                <w:b/>
                <w:color w:val="000000" w:themeColor="text1"/>
                <w:sz w:val="24"/>
                <w:szCs w:val="24"/>
                <w:lang w:eastAsia="zh-CN"/>
                <w14:textFill>
                  <w14:solidFill>
                    <w14:schemeClr w14:val="tx1"/>
                  </w14:solidFill>
                </w14:textFill>
              </w:rPr>
              <w:t>简易案件理由</w:t>
            </w:r>
          </w:p>
          <w:p w14:paraId="537B1110">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color w:val="000000" w:themeColor="text1"/>
                <w:sz w:val="24"/>
                <w:szCs w:val="24"/>
                <w:lang w:eastAsia="zh-CN"/>
                <w14:textFill>
                  <w14:solidFill>
                    <w14:schemeClr w14:val="tx1"/>
                  </w14:solidFill>
                </w14:textFill>
              </w:rPr>
              <w:t>（可以单选，也可以多选）</w:t>
            </w:r>
          </w:p>
        </w:tc>
        <w:tc>
          <w:tcPr>
            <w:tcW w:w="7673" w:type="dxa"/>
            <w:gridSpan w:val="2"/>
            <w:vAlign w:val="center"/>
          </w:tcPr>
          <w:p w14:paraId="1EFE96AC">
            <w:pPr>
              <w:pStyle w:val="7"/>
              <w:adjustRightInd w:val="0"/>
              <w:snapToGrid w:val="0"/>
              <w:spacing w:after="0"/>
              <w:rPr>
                <w:rFonts w:cs="Times New Roman"/>
                <w:bCs/>
                <w:color w:val="000000" w:themeColor="text1"/>
                <w:sz w:val="24"/>
                <w:szCs w:val="24"/>
                <w:lang w:eastAsia="zh-CN"/>
                <w14:textFill>
                  <w14:solidFill>
                    <w14:schemeClr w14:val="tx1"/>
                  </w14:solidFill>
                </w14:textFill>
              </w:rPr>
            </w:pPr>
            <w:r>
              <w:rPr>
                <w:rFonts w:cs="Times New Roman"/>
                <w:bCs/>
                <w:color w:val="000000" w:themeColor="text1"/>
                <w:sz w:val="24"/>
                <w:szCs w:val="24"/>
                <w:lang w:eastAsia="zh-CN"/>
                <w14:textFill>
                  <w14:solidFill>
                    <w14:schemeClr w14:val="tx1"/>
                  </w14:solidFill>
                </w14:textFill>
              </w:rPr>
              <w:sym w:font="Wingdings" w:char="00A8"/>
            </w:r>
            <w:r>
              <w:rPr>
                <w:rFonts w:cs="Times New Roman"/>
                <w:bCs/>
                <w:color w:val="000000" w:themeColor="text1"/>
                <w:sz w:val="24"/>
                <w:szCs w:val="24"/>
                <w:lang w:eastAsia="zh-CN"/>
                <w14:textFill>
                  <w14:solidFill>
                    <w14:schemeClr w14:val="tx1"/>
                  </w14:solidFill>
                </w14:textFill>
              </w:rPr>
              <w:t xml:space="preserve"> 1.在同一相关市场，参与集中的经营者所占的市场份额之和小于15%。</w:t>
            </w:r>
          </w:p>
        </w:tc>
      </w:tr>
      <w:tr w14:paraId="71E4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940" w:type="dxa"/>
            <w:vMerge w:val="continue"/>
            <w:shd w:val="clear" w:color="auto" w:fill="auto"/>
            <w:vAlign w:val="center"/>
          </w:tcPr>
          <w:p w14:paraId="3D13B9D8">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p>
        </w:tc>
        <w:tc>
          <w:tcPr>
            <w:tcW w:w="7673" w:type="dxa"/>
            <w:gridSpan w:val="2"/>
            <w:vAlign w:val="center"/>
          </w:tcPr>
          <w:p w14:paraId="257403F8">
            <w:pPr>
              <w:pStyle w:val="7"/>
              <w:adjustRightInd w:val="0"/>
              <w:snapToGrid w:val="0"/>
              <w:spacing w:after="0"/>
              <w:rPr>
                <w:rFonts w:cs="Times New Roman"/>
                <w:bCs/>
                <w:color w:val="000000" w:themeColor="text1"/>
                <w:sz w:val="24"/>
                <w:szCs w:val="24"/>
                <w:lang w:eastAsia="zh-CN"/>
                <w14:textFill>
                  <w14:solidFill>
                    <w14:schemeClr w14:val="tx1"/>
                  </w14:solidFill>
                </w14:textFill>
              </w:rPr>
            </w:pPr>
            <w:r>
              <w:rPr>
                <w:rFonts w:cs="Times New Roman"/>
                <w:bCs/>
                <w:color w:val="000000" w:themeColor="text1"/>
                <w:sz w:val="24"/>
                <w:szCs w:val="24"/>
                <w:lang w:eastAsia="zh-CN"/>
                <w14:textFill>
                  <w14:solidFill>
                    <w14:schemeClr w14:val="tx1"/>
                  </w14:solidFill>
                </w14:textFill>
              </w:rPr>
              <w:sym w:font="Wingdings" w:char="00A8"/>
            </w:r>
            <w:r>
              <w:rPr>
                <w:rFonts w:cs="Times New Roman"/>
                <w:bCs/>
                <w:color w:val="000000" w:themeColor="text1"/>
                <w:sz w:val="24"/>
                <w:szCs w:val="24"/>
                <w:lang w:val="en-US" w:eastAsia="zh-CN"/>
                <w14:textFill>
                  <w14:solidFill>
                    <w14:schemeClr w14:val="tx1"/>
                  </w14:solidFill>
                </w14:textFill>
              </w:rPr>
              <w:t xml:space="preserve"> </w:t>
            </w:r>
            <w:r>
              <w:rPr>
                <w:rFonts w:cs="Times New Roman"/>
                <w:bCs/>
                <w:color w:val="000000" w:themeColor="text1"/>
                <w:sz w:val="24"/>
                <w:szCs w:val="24"/>
                <w:lang w:eastAsia="zh-CN"/>
                <w14:textFill>
                  <w14:solidFill>
                    <w14:schemeClr w14:val="tx1"/>
                  </w14:solidFill>
                </w14:textFill>
              </w:rPr>
              <w:t>2.在上下游市场，参与集中的经营者所占的市场份额均小于25%。</w:t>
            </w:r>
          </w:p>
        </w:tc>
      </w:tr>
      <w:tr w14:paraId="58BC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940" w:type="dxa"/>
            <w:vMerge w:val="continue"/>
            <w:shd w:val="clear" w:color="auto" w:fill="auto"/>
            <w:vAlign w:val="center"/>
          </w:tcPr>
          <w:p w14:paraId="446DFD88">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p>
        </w:tc>
        <w:tc>
          <w:tcPr>
            <w:tcW w:w="7673" w:type="dxa"/>
            <w:gridSpan w:val="2"/>
            <w:vAlign w:val="center"/>
          </w:tcPr>
          <w:p w14:paraId="43B8B8C5">
            <w:pPr>
              <w:pStyle w:val="7"/>
              <w:adjustRightInd w:val="0"/>
              <w:snapToGrid w:val="0"/>
              <w:spacing w:after="0"/>
              <w:rPr>
                <w:rFonts w:cs="Times New Roman"/>
                <w:bCs/>
                <w:color w:val="000000" w:themeColor="text1"/>
                <w:sz w:val="24"/>
                <w:szCs w:val="24"/>
                <w:lang w:val="en-US" w:eastAsia="zh-CN"/>
                <w14:textFill>
                  <w14:solidFill>
                    <w14:schemeClr w14:val="tx1"/>
                  </w14:solidFill>
                </w14:textFill>
              </w:rPr>
            </w:pPr>
            <w:r>
              <w:rPr>
                <w:rFonts w:cs="Times New Roman"/>
                <w:bCs/>
                <w:color w:val="000000" w:themeColor="text1"/>
                <w:sz w:val="24"/>
                <w:szCs w:val="24"/>
                <w:lang w:eastAsia="zh-CN"/>
                <w14:textFill>
                  <w14:solidFill>
                    <w14:schemeClr w14:val="tx1"/>
                  </w14:solidFill>
                </w14:textFill>
              </w:rPr>
              <w:sym w:font="Wingdings" w:char="00A8"/>
            </w:r>
            <w:r>
              <w:rPr>
                <w:rFonts w:cs="Times New Roman"/>
                <w:bCs/>
                <w:color w:val="000000" w:themeColor="text1"/>
                <w:sz w:val="24"/>
                <w:szCs w:val="24"/>
                <w:lang w:eastAsia="zh-CN"/>
                <w14:textFill>
                  <w14:solidFill>
                    <w14:schemeClr w14:val="tx1"/>
                  </w14:solidFill>
                </w14:textFill>
              </w:rPr>
              <w:t xml:space="preserve"> 3.不在同一相关市场</w:t>
            </w:r>
            <w:r>
              <w:rPr>
                <w:rFonts w:cs="Times New Roman"/>
                <w:bCs/>
                <w:color w:val="000000" w:themeColor="text1"/>
                <w:sz w:val="24"/>
                <w:szCs w:val="24"/>
                <w:lang w:val="en-US" w:eastAsia="zh-CN"/>
                <w14:textFill>
                  <w14:solidFill>
                    <w14:schemeClr w14:val="tx1"/>
                  </w14:solidFill>
                </w14:textFill>
              </w:rPr>
              <w:t>、</w:t>
            </w:r>
            <w:r>
              <w:rPr>
                <w:rFonts w:cs="Times New Roman"/>
                <w:bCs/>
                <w:color w:val="000000" w:themeColor="text1"/>
                <w:sz w:val="24"/>
                <w:szCs w:val="24"/>
                <w:lang w:eastAsia="zh-CN"/>
                <w14:textFill>
                  <w14:solidFill>
                    <w14:schemeClr w14:val="tx1"/>
                  </w14:solidFill>
                </w14:textFill>
              </w:rPr>
              <w:t>也不存在上下游关系的参与集中的经营者，在与交易有关的每个市场所占的市场份额均小于25%。</w:t>
            </w:r>
          </w:p>
        </w:tc>
      </w:tr>
      <w:tr w14:paraId="7388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940" w:type="dxa"/>
            <w:vMerge w:val="continue"/>
            <w:shd w:val="clear" w:color="auto" w:fill="auto"/>
            <w:vAlign w:val="center"/>
          </w:tcPr>
          <w:p w14:paraId="33F7D458">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p>
        </w:tc>
        <w:tc>
          <w:tcPr>
            <w:tcW w:w="7673" w:type="dxa"/>
            <w:gridSpan w:val="2"/>
            <w:vAlign w:val="center"/>
          </w:tcPr>
          <w:p w14:paraId="440E9F88">
            <w:pPr>
              <w:pStyle w:val="7"/>
              <w:adjustRightInd w:val="0"/>
              <w:snapToGrid w:val="0"/>
              <w:spacing w:after="0"/>
              <w:rPr>
                <w:rFonts w:cs="Times New Roman"/>
                <w:bCs/>
                <w:color w:val="000000" w:themeColor="text1"/>
                <w:sz w:val="24"/>
                <w:szCs w:val="24"/>
                <w:lang w:val="en-US" w:eastAsia="zh-CN"/>
                <w14:textFill>
                  <w14:solidFill>
                    <w14:schemeClr w14:val="tx1"/>
                  </w14:solidFill>
                </w14:textFill>
              </w:rPr>
            </w:pPr>
            <w:r>
              <w:rPr>
                <w:rFonts w:cs="Times New Roman"/>
                <w:bCs/>
                <w:color w:val="000000" w:themeColor="text1"/>
                <w:sz w:val="24"/>
                <w:szCs w:val="24"/>
                <w:lang w:eastAsia="zh-CN"/>
                <w14:textFill>
                  <w14:solidFill>
                    <w14:schemeClr w14:val="tx1"/>
                  </w14:solidFill>
                </w14:textFill>
              </w:rPr>
              <w:sym w:font="Wingdings" w:char="00A8"/>
            </w:r>
            <w:r>
              <w:rPr>
                <w:rFonts w:cs="Times New Roman"/>
                <w:bCs/>
                <w:color w:val="000000" w:themeColor="text1"/>
                <w:sz w:val="24"/>
                <w:szCs w:val="24"/>
                <w:lang w:eastAsia="zh-CN"/>
                <w14:textFill>
                  <w14:solidFill>
                    <w14:schemeClr w14:val="tx1"/>
                  </w14:solidFill>
                </w14:textFill>
              </w:rPr>
              <w:t xml:space="preserve"> 4.参与集中的经营者在中国境外设立合营企业，合营企业不在中国境内从事经济活动。</w:t>
            </w:r>
          </w:p>
        </w:tc>
      </w:tr>
      <w:tr w14:paraId="5320E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940" w:type="dxa"/>
            <w:vMerge w:val="continue"/>
            <w:shd w:val="clear" w:color="auto" w:fill="auto"/>
            <w:vAlign w:val="center"/>
          </w:tcPr>
          <w:p w14:paraId="4CE54662">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p>
        </w:tc>
        <w:tc>
          <w:tcPr>
            <w:tcW w:w="7673" w:type="dxa"/>
            <w:gridSpan w:val="2"/>
            <w:vAlign w:val="center"/>
          </w:tcPr>
          <w:p w14:paraId="0EEF089B">
            <w:pPr>
              <w:pStyle w:val="7"/>
              <w:adjustRightInd w:val="0"/>
              <w:snapToGrid w:val="0"/>
              <w:spacing w:after="0"/>
              <w:rPr>
                <w:rFonts w:cs="Times New Roman"/>
                <w:bCs/>
                <w:color w:val="000000" w:themeColor="text1"/>
                <w:sz w:val="24"/>
                <w:szCs w:val="24"/>
                <w:lang w:val="en-US" w:eastAsia="zh-CN"/>
                <w14:textFill>
                  <w14:solidFill>
                    <w14:schemeClr w14:val="tx1"/>
                  </w14:solidFill>
                </w14:textFill>
              </w:rPr>
            </w:pPr>
            <w:r>
              <w:rPr>
                <w:rFonts w:cs="Times New Roman"/>
                <w:bCs/>
                <w:color w:val="000000"/>
                <w:sz w:val="24"/>
                <w:szCs w:val="24"/>
              </w:rPr>
              <w:sym w:font="Wingdings" w:char="F0FE"/>
            </w:r>
            <w:r>
              <w:rPr>
                <w:rFonts w:cs="Times New Roman"/>
                <w:bCs/>
                <w:color w:val="000000"/>
                <w:sz w:val="24"/>
                <w:szCs w:val="24"/>
                <w:lang w:eastAsia="zh-CN"/>
              </w:rPr>
              <w:t xml:space="preserve"> </w:t>
            </w:r>
            <w:r>
              <w:rPr>
                <w:rFonts w:cs="Times New Roman"/>
                <w:bCs/>
                <w:color w:val="000000" w:themeColor="text1"/>
                <w:sz w:val="24"/>
                <w:szCs w:val="24"/>
                <w:lang w:eastAsia="zh-CN"/>
                <w14:textFill>
                  <w14:solidFill>
                    <w14:schemeClr w14:val="tx1"/>
                  </w14:solidFill>
                </w14:textFill>
              </w:rPr>
              <w:t>5.参与集中的经营者收购境外企业股权或资产的，该境外企业不在中国境内从事经济活动。</w:t>
            </w:r>
          </w:p>
        </w:tc>
      </w:tr>
      <w:tr w14:paraId="7BFD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940" w:type="dxa"/>
            <w:vMerge w:val="continue"/>
            <w:shd w:val="clear" w:color="auto" w:fill="auto"/>
            <w:vAlign w:val="center"/>
          </w:tcPr>
          <w:p w14:paraId="26411C22">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p>
        </w:tc>
        <w:tc>
          <w:tcPr>
            <w:tcW w:w="7673" w:type="dxa"/>
            <w:gridSpan w:val="2"/>
            <w:vAlign w:val="center"/>
          </w:tcPr>
          <w:p w14:paraId="534F1F71">
            <w:pPr>
              <w:pStyle w:val="7"/>
              <w:adjustRightInd w:val="0"/>
              <w:snapToGrid w:val="0"/>
              <w:spacing w:after="0"/>
              <w:rPr>
                <w:rFonts w:cs="Times New Roman"/>
                <w:bCs/>
                <w:color w:val="000000" w:themeColor="text1"/>
                <w:sz w:val="24"/>
                <w:szCs w:val="24"/>
                <w:lang w:val="en-US" w:eastAsia="zh-CN"/>
                <w14:textFill>
                  <w14:solidFill>
                    <w14:schemeClr w14:val="tx1"/>
                  </w14:solidFill>
                </w14:textFill>
              </w:rPr>
            </w:pPr>
            <w:r>
              <w:rPr>
                <w:rFonts w:cs="Times New Roman"/>
                <w:bCs/>
                <w:color w:val="000000" w:themeColor="text1"/>
                <w:sz w:val="24"/>
                <w:szCs w:val="24"/>
                <w:lang w:eastAsia="zh-CN"/>
                <w14:textFill>
                  <w14:solidFill>
                    <w14:schemeClr w14:val="tx1"/>
                  </w14:solidFill>
                </w14:textFill>
              </w:rPr>
              <w:sym w:font="Wingdings" w:char="00A8"/>
            </w:r>
            <w:r>
              <w:rPr>
                <w:rFonts w:cs="Times New Roman"/>
                <w:bCs/>
                <w:color w:val="000000" w:themeColor="text1"/>
                <w:sz w:val="24"/>
                <w:szCs w:val="24"/>
                <w:lang w:eastAsia="zh-CN"/>
                <w14:textFill>
                  <w14:solidFill>
                    <w14:schemeClr w14:val="tx1"/>
                  </w14:solidFill>
                </w14:textFill>
              </w:rPr>
              <w:t xml:space="preserve"> 6.由两个以上的经营者共同控制的合营企业，通过集中被其中一个或一个以上经营者控制。</w:t>
            </w:r>
          </w:p>
        </w:tc>
      </w:tr>
      <w:tr w14:paraId="4305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3" w:hRule="atLeast"/>
          <w:jc w:val="center"/>
        </w:trPr>
        <w:tc>
          <w:tcPr>
            <w:tcW w:w="1940" w:type="dxa"/>
            <w:shd w:val="clear" w:color="auto" w:fill="auto"/>
            <w:vAlign w:val="center"/>
          </w:tcPr>
          <w:p w14:paraId="3D703E8B">
            <w:pPr>
              <w:pStyle w:val="7"/>
              <w:adjustRightInd w:val="0"/>
              <w:snapToGrid w:val="0"/>
              <w:spacing w:after="0"/>
              <w:jc w:val="center"/>
              <w:rPr>
                <w:rFonts w:asciiTheme="minorEastAsia" w:hAnsiTheme="minorEastAsia" w:eastAsiaTheme="minorEastAsia" w:cstheme="minorEastAsia"/>
                <w:b/>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color w:val="000000" w:themeColor="text1"/>
                <w:sz w:val="24"/>
                <w:szCs w:val="24"/>
                <w:lang w:val="en-US" w:eastAsia="zh-CN"/>
                <w14:textFill>
                  <w14:solidFill>
                    <w14:schemeClr w14:val="tx1"/>
                  </w14:solidFill>
                </w14:textFill>
              </w:rPr>
              <w:t>备注</w:t>
            </w:r>
          </w:p>
        </w:tc>
        <w:tc>
          <w:tcPr>
            <w:tcW w:w="7673" w:type="dxa"/>
            <w:gridSpan w:val="2"/>
            <w:vAlign w:val="center"/>
          </w:tcPr>
          <w:p w14:paraId="01658515">
            <w:pPr>
              <w:pStyle w:val="7"/>
              <w:adjustRightInd w:val="0"/>
              <w:snapToGrid w:val="0"/>
              <w:spacing w:after="0"/>
              <w:rPr>
                <w:rFonts w:cs="Times New Roman"/>
                <w:bCs/>
                <w:color w:val="000000" w:themeColor="text1"/>
                <w:lang w:eastAsia="zh-CN"/>
                <w14:textFill>
                  <w14:solidFill>
                    <w14:schemeClr w14:val="tx1"/>
                  </w14:solidFill>
                </w14:textFill>
              </w:rPr>
            </w:pPr>
            <w:r>
              <w:rPr>
                <w:rFonts w:cs="Times New Roman"/>
                <w:bCs/>
                <w:color w:val="000000"/>
              </w:rPr>
              <w:t>不适用</w:t>
            </w:r>
          </w:p>
        </w:tc>
      </w:tr>
    </w:tbl>
    <w:p w14:paraId="03034C79"/>
    <w:p w14:paraId="03866BB6">
      <w:pPr>
        <w:rPr>
          <w:rFonts w:hint="default" w:ascii="Times New Roman" w:hAnsi="Times New Roman" w:cs="Times New Roman" w:eastAsiaTheme="minor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script"/>
    <w:pitch w:val="default"/>
    <w:sig w:usb0="00000001" w:usb1="080E0000" w:usb2="00000000" w:usb3="00000000" w:csb0="00040000" w:csb1="00000000"/>
  </w:font>
  <w:font w:name="Simplified Arabic">
    <w:altName w:val="Arial"/>
    <w:panose1 w:val="02020603050405020304"/>
    <w:charset w:val="B2"/>
    <w:family w:val="roman"/>
    <w:pitch w:val="default"/>
    <w:sig w:usb0="00000000" w:usb1="00000000" w:usb2="00000000" w:usb3="00000000" w:csb0="00000041" w:csb1="20080000"/>
  </w:font>
  <w:font w:name="楷体_GB2312">
    <w:altName w:val="楷体"/>
    <w:panose1 w:val="02010609030101010101"/>
    <w:charset w:val="86"/>
    <w:family w:val="modern"/>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E118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963250">
                          <w:pPr>
                            <w:pStyle w:val="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9963250">
                    <w:pPr>
                      <w:pStyle w:val="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057174"/>
    <w:rsid w:val="011DF4EB"/>
    <w:rsid w:val="01B165CE"/>
    <w:rsid w:val="021721B2"/>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444B1C"/>
    <w:rsid w:val="0C6B60D7"/>
    <w:rsid w:val="0DE526A7"/>
    <w:rsid w:val="0E5C7E9D"/>
    <w:rsid w:val="0EEC791B"/>
    <w:rsid w:val="0F272A69"/>
    <w:rsid w:val="0FA436B7"/>
    <w:rsid w:val="0FB97626"/>
    <w:rsid w:val="0FBBC6D8"/>
    <w:rsid w:val="0FCA58AB"/>
    <w:rsid w:val="10C02711"/>
    <w:rsid w:val="1173218D"/>
    <w:rsid w:val="11D03D09"/>
    <w:rsid w:val="12ED74AA"/>
    <w:rsid w:val="130B6D76"/>
    <w:rsid w:val="13236AF1"/>
    <w:rsid w:val="13D6674E"/>
    <w:rsid w:val="140C03C2"/>
    <w:rsid w:val="14465682"/>
    <w:rsid w:val="150C1E94"/>
    <w:rsid w:val="15D94F21"/>
    <w:rsid w:val="15E47716"/>
    <w:rsid w:val="164E6A70"/>
    <w:rsid w:val="1680064E"/>
    <w:rsid w:val="170576D4"/>
    <w:rsid w:val="17436509"/>
    <w:rsid w:val="17C624FF"/>
    <w:rsid w:val="1A9B628C"/>
    <w:rsid w:val="1AA11230"/>
    <w:rsid w:val="1B2D6269"/>
    <w:rsid w:val="1BF9394B"/>
    <w:rsid w:val="1BF9AB71"/>
    <w:rsid w:val="1C361957"/>
    <w:rsid w:val="1D9B7467"/>
    <w:rsid w:val="1DA24124"/>
    <w:rsid w:val="1DFE30C6"/>
    <w:rsid w:val="1F2073B8"/>
    <w:rsid w:val="1FC81833"/>
    <w:rsid w:val="20C2797E"/>
    <w:rsid w:val="215B059A"/>
    <w:rsid w:val="22151D28"/>
    <w:rsid w:val="230E380E"/>
    <w:rsid w:val="24606B41"/>
    <w:rsid w:val="246736EB"/>
    <w:rsid w:val="24840815"/>
    <w:rsid w:val="25C17900"/>
    <w:rsid w:val="261144B9"/>
    <w:rsid w:val="26C66578"/>
    <w:rsid w:val="26F43711"/>
    <w:rsid w:val="27B435B3"/>
    <w:rsid w:val="27ED6C10"/>
    <w:rsid w:val="281C288D"/>
    <w:rsid w:val="289A6D28"/>
    <w:rsid w:val="2B795B9C"/>
    <w:rsid w:val="2C0C7CCC"/>
    <w:rsid w:val="2CAC25FF"/>
    <w:rsid w:val="2D522E91"/>
    <w:rsid w:val="2D5533DA"/>
    <w:rsid w:val="2DE27A2D"/>
    <w:rsid w:val="2DE926AB"/>
    <w:rsid w:val="2DFF8C0F"/>
    <w:rsid w:val="2ECF569F"/>
    <w:rsid w:val="2F0902B7"/>
    <w:rsid w:val="2F745341"/>
    <w:rsid w:val="3025112D"/>
    <w:rsid w:val="30304791"/>
    <w:rsid w:val="319E78FD"/>
    <w:rsid w:val="339B1A7D"/>
    <w:rsid w:val="34390907"/>
    <w:rsid w:val="34527864"/>
    <w:rsid w:val="356065C1"/>
    <w:rsid w:val="35741F7B"/>
    <w:rsid w:val="35927D49"/>
    <w:rsid w:val="36647739"/>
    <w:rsid w:val="36722108"/>
    <w:rsid w:val="37736187"/>
    <w:rsid w:val="37EC4B4C"/>
    <w:rsid w:val="3A0D539C"/>
    <w:rsid w:val="3A7D25F4"/>
    <w:rsid w:val="3B6C128B"/>
    <w:rsid w:val="3BB078EF"/>
    <w:rsid w:val="3BF42FA2"/>
    <w:rsid w:val="3C1B3849"/>
    <w:rsid w:val="3DBE0E38"/>
    <w:rsid w:val="3DCF2C73"/>
    <w:rsid w:val="3E3B322A"/>
    <w:rsid w:val="3E84720A"/>
    <w:rsid w:val="3EB7365E"/>
    <w:rsid w:val="3EBE2D3F"/>
    <w:rsid w:val="3ED7D01C"/>
    <w:rsid w:val="3EE73D98"/>
    <w:rsid w:val="3FFFF7A9"/>
    <w:rsid w:val="40D7777E"/>
    <w:rsid w:val="4129118D"/>
    <w:rsid w:val="41D779C0"/>
    <w:rsid w:val="436E421B"/>
    <w:rsid w:val="43E353FE"/>
    <w:rsid w:val="45E92E66"/>
    <w:rsid w:val="46845245"/>
    <w:rsid w:val="46F216C3"/>
    <w:rsid w:val="47B16C82"/>
    <w:rsid w:val="48567BBA"/>
    <w:rsid w:val="48604985"/>
    <w:rsid w:val="48C332AF"/>
    <w:rsid w:val="49857111"/>
    <w:rsid w:val="498A72A0"/>
    <w:rsid w:val="4B026707"/>
    <w:rsid w:val="4C824703"/>
    <w:rsid w:val="4CC01CF8"/>
    <w:rsid w:val="4CFD75DE"/>
    <w:rsid w:val="4D022B50"/>
    <w:rsid w:val="4D4001B9"/>
    <w:rsid w:val="4D533669"/>
    <w:rsid w:val="4D611881"/>
    <w:rsid w:val="4DB67BAD"/>
    <w:rsid w:val="4DBF710D"/>
    <w:rsid w:val="4DCB01B8"/>
    <w:rsid w:val="4E121B55"/>
    <w:rsid w:val="4E585190"/>
    <w:rsid w:val="4E626EA5"/>
    <w:rsid w:val="4F7D0643"/>
    <w:rsid w:val="505E72D4"/>
    <w:rsid w:val="509176A9"/>
    <w:rsid w:val="50CB3BDA"/>
    <w:rsid w:val="511505E7"/>
    <w:rsid w:val="5275657D"/>
    <w:rsid w:val="53701092"/>
    <w:rsid w:val="53DE53F7"/>
    <w:rsid w:val="543F4A18"/>
    <w:rsid w:val="549363D0"/>
    <w:rsid w:val="54D26C3D"/>
    <w:rsid w:val="54DD7AC9"/>
    <w:rsid w:val="55413F6A"/>
    <w:rsid w:val="558A3AEC"/>
    <w:rsid w:val="55FF4F39"/>
    <w:rsid w:val="563C0C84"/>
    <w:rsid w:val="567C47AD"/>
    <w:rsid w:val="568C7EFA"/>
    <w:rsid w:val="5721053D"/>
    <w:rsid w:val="57983795"/>
    <w:rsid w:val="5A320350"/>
    <w:rsid w:val="5A4E1134"/>
    <w:rsid w:val="5A8F5421"/>
    <w:rsid w:val="5AB377AC"/>
    <w:rsid w:val="5ADB7A9F"/>
    <w:rsid w:val="5BDF7AA8"/>
    <w:rsid w:val="5CC770F3"/>
    <w:rsid w:val="5D675499"/>
    <w:rsid w:val="5DFF5221"/>
    <w:rsid w:val="5E606197"/>
    <w:rsid w:val="5E758AD3"/>
    <w:rsid w:val="5EFFEB53"/>
    <w:rsid w:val="5F5B3889"/>
    <w:rsid w:val="5F7404E1"/>
    <w:rsid w:val="5F8A409D"/>
    <w:rsid w:val="60B85CFA"/>
    <w:rsid w:val="61AC7C2D"/>
    <w:rsid w:val="61F32521"/>
    <w:rsid w:val="623205C0"/>
    <w:rsid w:val="636944D5"/>
    <w:rsid w:val="63DF2D55"/>
    <w:rsid w:val="63F6661D"/>
    <w:rsid w:val="64F94FB6"/>
    <w:rsid w:val="64FF0119"/>
    <w:rsid w:val="650C61D5"/>
    <w:rsid w:val="65183212"/>
    <w:rsid w:val="654F569B"/>
    <w:rsid w:val="65956E9C"/>
    <w:rsid w:val="65AC0421"/>
    <w:rsid w:val="66081E61"/>
    <w:rsid w:val="67090219"/>
    <w:rsid w:val="6754015D"/>
    <w:rsid w:val="676B6497"/>
    <w:rsid w:val="677B0DDC"/>
    <w:rsid w:val="67885F66"/>
    <w:rsid w:val="67D469E8"/>
    <w:rsid w:val="685D233B"/>
    <w:rsid w:val="69C0748D"/>
    <w:rsid w:val="69C71FDB"/>
    <w:rsid w:val="6A7D30C3"/>
    <w:rsid w:val="6ABB6FCD"/>
    <w:rsid w:val="6B63067C"/>
    <w:rsid w:val="6B9261CD"/>
    <w:rsid w:val="6B9A71CB"/>
    <w:rsid w:val="6BCB1BF4"/>
    <w:rsid w:val="6BCB6DE4"/>
    <w:rsid w:val="6BCC0CB3"/>
    <w:rsid w:val="6C45316D"/>
    <w:rsid w:val="6CBF87B4"/>
    <w:rsid w:val="6DB52AE5"/>
    <w:rsid w:val="6DEFBAE0"/>
    <w:rsid w:val="6E372E5F"/>
    <w:rsid w:val="6E3FE820"/>
    <w:rsid w:val="6E494CC8"/>
    <w:rsid w:val="6E6B10E2"/>
    <w:rsid w:val="6E786ABC"/>
    <w:rsid w:val="6F538C10"/>
    <w:rsid w:val="6FDF5799"/>
    <w:rsid w:val="701033B7"/>
    <w:rsid w:val="710A7485"/>
    <w:rsid w:val="71394751"/>
    <w:rsid w:val="72131803"/>
    <w:rsid w:val="723024E6"/>
    <w:rsid w:val="73026B48"/>
    <w:rsid w:val="73AF26D7"/>
    <w:rsid w:val="74566BED"/>
    <w:rsid w:val="747131CA"/>
    <w:rsid w:val="74CE550B"/>
    <w:rsid w:val="74FA9F2D"/>
    <w:rsid w:val="755F49C7"/>
    <w:rsid w:val="763224E5"/>
    <w:rsid w:val="767FE0B3"/>
    <w:rsid w:val="76AFBFF1"/>
    <w:rsid w:val="76CA40F3"/>
    <w:rsid w:val="76E00627"/>
    <w:rsid w:val="77527FDF"/>
    <w:rsid w:val="77AFF4F6"/>
    <w:rsid w:val="77FF6A8C"/>
    <w:rsid w:val="77FFCFC3"/>
    <w:rsid w:val="78410251"/>
    <w:rsid w:val="793FB7A1"/>
    <w:rsid w:val="7A4C42EF"/>
    <w:rsid w:val="7A66B182"/>
    <w:rsid w:val="7A9C06E1"/>
    <w:rsid w:val="7AB91678"/>
    <w:rsid w:val="7B8F578C"/>
    <w:rsid w:val="7B9A66EF"/>
    <w:rsid w:val="7BAB6FC2"/>
    <w:rsid w:val="7BE411F0"/>
    <w:rsid w:val="7BFFD823"/>
    <w:rsid w:val="7C7918BC"/>
    <w:rsid w:val="7DCE664D"/>
    <w:rsid w:val="7EE72273"/>
    <w:rsid w:val="7EF7CDD2"/>
    <w:rsid w:val="7F7BEB9D"/>
    <w:rsid w:val="7FBF2495"/>
    <w:rsid w:val="7FDCAB43"/>
    <w:rsid w:val="7FE15510"/>
    <w:rsid w:val="7FE91E78"/>
    <w:rsid w:val="7FF500C7"/>
    <w:rsid w:val="7FFDE69B"/>
    <w:rsid w:val="9CBD0B1A"/>
    <w:rsid w:val="A7F9C1DE"/>
    <w:rsid w:val="A9AD231D"/>
    <w:rsid w:val="ADFAC79E"/>
    <w:rsid w:val="AE7E1E17"/>
    <w:rsid w:val="B593FB7D"/>
    <w:rsid w:val="B9B92832"/>
    <w:rsid w:val="BCB7048F"/>
    <w:rsid w:val="BCF89F06"/>
    <w:rsid w:val="BEAF73DD"/>
    <w:rsid w:val="BF8E36EE"/>
    <w:rsid w:val="BFDFB85E"/>
    <w:rsid w:val="BFF739EC"/>
    <w:rsid w:val="C3F5BA26"/>
    <w:rsid w:val="D5DB8D8A"/>
    <w:rsid w:val="DDEFBA43"/>
    <w:rsid w:val="DEAFB90F"/>
    <w:rsid w:val="DF21B821"/>
    <w:rsid w:val="DFD76A11"/>
    <w:rsid w:val="E7FFE685"/>
    <w:rsid w:val="E9F71F09"/>
    <w:rsid w:val="EAFD8D58"/>
    <w:rsid w:val="EB6C770B"/>
    <w:rsid w:val="EBCD181E"/>
    <w:rsid w:val="EFFFDD70"/>
    <w:rsid w:val="F1B778F1"/>
    <w:rsid w:val="F3FF743F"/>
    <w:rsid w:val="F4FF55F7"/>
    <w:rsid w:val="F7EFF966"/>
    <w:rsid w:val="F7FD911C"/>
    <w:rsid w:val="F9DF2CA6"/>
    <w:rsid w:val="FB3326CC"/>
    <w:rsid w:val="FBCE4D19"/>
    <w:rsid w:val="FBFE1D07"/>
    <w:rsid w:val="FDBF10AA"/>
    <w:rsid w:val="FE5FA0A2"/>
    <w:rsid w:val="FEAEC70B"/>
    <w:rsid w:val="FF57FBD6"/>
    <w:rsid w:val="FFB70466"/>
    <w:rsid w:val="FFBC3961"/>
    <w:rsid w:val="FFCF003E"/>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8"/>
    <w:unhideWhenUsed/>
    <w:qFormat/>
    <w:uiPriority w:val="99"/>
    <w:pPr>
      <w:spacing w:after="120"/>
    </w:pPr>
  </w:style>
  <w:style w:type="paragraph" w:styleId="8">
    <w:name w:val="footer"/>
    <w:basedOn w:val="1"/>
    <w:link w:val="17"/>
    <w:qFormat/>
    <w:uiPriority w:val="0"/>
    <w:pPr>
      <w:tabs>
        <w:tab w:val="center" w:pos="4153"/>
        <w:tab w:val="right" w:pos="8306"/>
      </w:tabs>
      <w:snapToGrid w:val="0"/>
      <w:jc w:val="left"/>
    </w:pPr>
    <w:rPr>
      <w:sz w:val="18"/>
      <w:szCs w:val="18"/>
    </w:rPr>
  </w:style>
  <w:style w:type="paragraph" w:styleId="9">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rFonts w:ascii="Times New Roman" w:hAnsi="Times New Roman" w:eastAsia="宋体"/>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9"/>
    <w:qFormat/>
    <w:uiPriority w:val="0"/>
    <w:rPr>
      <w:rFonts w:ascii="Times New Roman" w:hAnsi="Times New Roman" w:eastAsia="宋体" w:cs="Times New Roman"/>
      <w:kern w:val="2"/>
      <w:sz w:val="18"/>
      <w:szCs w:val="18"/>
    </w:rPr>
  </w:style>
  <w:style w:type="character" w:customStyle="1" w:styleId="17">
    <w:name w:val="页脚 字符"/>
    <w:basedOn w:val="14"/>
    <w:link w:val="8"/>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8"/>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1968</Words>
  <Characters>2109</Characters>
  <Lines>1</Lines>
  <Paragraphs>1</Paragraphs>
  <TotalTime>9</TotalTime>
  <ScaleCrop>false</ScaleCrop>
  <LinksUpToDate>false</LinksUpToDate>
  <CharactersWithSpaces>2231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2023-02-25T17:34:00Z</dcterms:created>
  <dc:creator>张斌（反垄断处）</dc:creator>
  <cp:lastModifiedBy>梁玲金</cp:lastModifiedBy>
  <cp:lastPrinted>2024-07-31T01:27:00Z</cp:lastPrinted>
  <dcterms:modified xsi:type="dcterms:W3CDTF">2024-10-31T02:35:19Z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2F510BCF826C43248232D30198221AB7</vt:lpwstr>
  </property>
</Properties>
</file>