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F3BDC">
      <w:pPr>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794F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6" w:hRule="atLeast"/>
        </w:trPr>
        <w:tc>
          <w:tcPr>
            <w:tcW w:w="1940" w:type="dxa"/>
            <w:shd w:val="clear" w:color="auto" w:fill="D9D9D9"/>
            <w:vAlign w:val="center"/>
          </w:tcPr>
          <w:p w14:paraId="24986388">
            <w:pPr>
              <w:pStyle w:val="5"/>
              <w:adjustRightInd w:val="0"/>
              <w:snapToGrid w:val="0"/>
              <w:spacing w:after="0"/>
              <w:rPr>
                <w:rFonts w:ascii="Times New Roman Regular" w:hAnsi="Times New Roman Regular" w:cs="Times New Roman Regular"/>
                <w:bCs/>
                <w:color w:val="000000"/>
                <w:lang w:val="en-US"/>
              </w:rPr>
            </w:pPr>
            <w:r>
              <w:rPr>
                <w:rFonts w:ascii="Times New Roman Regular" w:hAnsi="Times New Roman Regular" w:cs="Times New Roman Regular"/>
                <w:bCs/>
                <w:color w:val="000000"/>
              </w:rPr>
              <w:t>案件名称</w:t>
            </w:r>
          </w:p>
        </w:tc>
        <w:tc>
          <w:tcPr>
            <w:tcW w:w="7700" w:type="dxa"/>
            <w:gridSpan w:val="2"/>
            <w:shd w:val="clear" w:color="auto" w:fill="auto"/>
            <w:vAlign w:val="center"/>
          </w:tcPr>
          <w:p w14:paraId="052F0E95">
            <w:pPr>
              <w:adjustRightInd w:val="0"/>
              <w:snapToGrid w:val="0"/>
              <w:spacing w:after="0"/>
              <w:rPr>
                <w:rFonts w:ascii="Times New Roman Regular" w:hAnsi="Times New Roman Regular" w:cs="Times New Roman Regular"/>
                <w:bCs/>
                <w:color w:val="000000"/>
                <w:lang w:val="en-US"/>
              </w:rPr>
            </w:pPr>
            <w:r>
              <w:rPr>
                <w:rFonts w:ascii="Times New Roman Regular" w:hAnsi="Times New Roman Regular" w:cs="Times New Roman Regular"/>
                <w:bCs/>
                <w:color w:val="000000"/>
                <w:lang w:val="en-US"/>
              </w:rPr>
              <w:t>皮博迪SMC有限公司和皮博迪MNG有限公司收购英美资源（荷兰）有限公司部分业务案（</w:t>
            </w:r>
            <w:r>
              <w:rPr>
                <w:rFonts w:hint="eastAsia" w:ascii="Times New Roman Regular" w:hAnsi="Times New Roman Regular" w:cs="Times New Roman Regular"/>
                <w:kern w:val="2"/>
                <w:lang w:val="en-US" w:bidi="ar-SA"/>
              </w:rPr>
              <w:t>“</w:t>
            </w:r>
            <w:r>
              <w:rPr>
                <w:rFonts w:ascii="Times New Roman Regular" w:hAnsi="Times New Roman Regular" w:cs="Times New Roman Regular"/>
                <w:b/>
                <w:color w:val="000000"/>
                <w:lang w:val="en-US"/>
              </w:rPr>
              <w:t>拟议交易</w:t>
            </w:r>
            <w:r>
              <w:rPr>
                <w:rFonts w:hint="eastAsia" w:ascii="Times New Roman Regular" w:hAnsi="Times New Roman Regular" w:cs="Times New Roman Regular"/>
                <w:kern w:val="2"/>
                <w:lang w:val="en-US" w:bidi="ar-SA"/>
              </w:rPr>
              <w:t>”</w:t>
            </w:r>
            <w:r>
              <w:rPr>
                <w:rFonts w:ascii="Times New Roman Regular" w:hAnsi="Times New Roman Regular" w:cs="Times New Roman Regular"/>
                <w:bCs/>
                <w:color w:val="000000"/>
                <w:lang w:val="en-US"/>
              </w:rPr>
              <w:t>）</w:t>
            </w:r>
          </w:p>
        </w:tc>
      </w:tr>
      <w:tr w14:paraId="48EA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91" w:hRule="atLeast"/>
        </w:trPr>
        <w:tc>
          <w:tcPr>
            <w:tcW w:w="1940" w:type="dxa"/>
            <w:shd w:val="clear" w:color="auto" w:fill="D9D9D9"/>
            <w:vAlign w:val="center"/>
          </w:tcPr>
          <w:p w14:paraId="6D0F9F61">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t>交易概况（限200字内）</w:t>
            </w:r>
          </w:p>
        </w:tc>
        <w:tc>
          <w:tcPr>
            <w:tcW w:w="7700" w:type="dxa"/>
            <w:gridSpan w:val="2"/>
            <w:shd w:val="clear" w:color="auto" w:fill="auto"/>
            <w:vAlign w:val="center"/>
          </w:tcPr>
          <w:p w14:paraId="5566196F">
            <w:pPr>
              <w:widowControl w:val="0"/>
              <w:adjustRightInd w:val="0"/>
              <w:snapToGrid w:val="0"/>
              <w:spacing w:after="0"/>
              <w:rPr>
                <w:rFonts w:ascii="Times New Roman Regular" w:hAnsi="Times New Roman Regular" w:cs="Times New Roman Regular"/>
                <w:lang w:val="en-US"/>
              </w:rPr>
            </w:pPr>
            <w:r>
              <w:rPr>
                <w:rFonts w:ascii="Times New Roman Regular" w:hAnsi="Times New Roman Regular" w:cs="Times New Roman Regular"/>
                <w:lang w:val="en-US"/>
              </w:rPr>
              <w:t>皮博迪 SMC 有限公司（</w:t>
            </w:r>
            <w:r>
              <w:rPr>
                <w:rFonts w:hint="eastAsia" w:ascii="Times New Roman Regular" w:hAnsi="Times New Roman Regular" w:cs="Times New Roman Regular"/>
                <w:kern w:val="2"/>
                <w:lang w:val="en-US" w:bidi="ar-SA"/>
              </w:rPr>
              <w:t>“</w:t>
            </w:r>
            <w:r>
              <w:rPr>
                <w:rFonts w:ascii="Times New Roman Regular" w:hAnsi="Times New Roman Regular" w:cs="Times New Roman Regular"/>
                <w:b/>
                <w:bCs/>
                <w:lang w:val="en-US"/>
              </w:rPr>
              <w:t>皮博迪 SMC</w:t>
            </w:r>
            <w:r>
              <w:rPr>
                <w:rFonts w:hint="eastAsia" w:ascii="Times New Roman Regular" w:hAnsi="Times New Roman Regular" w:cs="Times New Roman Regular"/>
                <w:kern w:val="2"/>
                <w:lang w:val="en-US" w:bidi="ar-SA"/>
              </w:rPr>
              <w:t>”</w:t>
            </w:r>
            <w:r>
              <w:rPr>
                <w:rFonts w:ascii="Times New Roman Regular" w:hAnsi="Times New Roman Regular" w:cs="Times New Roman Regular"/>
                <w:lang w:val="en-US"/>
              </w:rPr>
              <w:t>）和皮博迪MNG有限公司（</w:t>
            </w:r>
            <w:r>
              <w:rPr>
                <w:rFonts w:hint="eastAsia" w:ascii="Times New Roman Regular" w:hAnsi="Times New Roman Regular" w:cs="Times New Roman Regular"/>
                <w:kern w:val="2"/>
                <w:lang w:val="en-US" w:bidi="ar-SA"/>
              </w:rPr>
              <w:t>“</w:t>
            </w:r>
            <w:r>
              <w:rPr>
                <w:rFonts w:ascii="Times New Roman Regular" w:hAnsi="Times New Roman Regular" w:cs="Times New Roman Regular"/>
                <w:b/>
                <w:bCs/>
                <w:lang w:val="en-US"/>
              </w:rPr>
              <w:t>皮博迪MNG</w:t>
            </w:r>
            <w:r>
              <w:rPr>
                <w:rFonts w:hint="eastAsia" w:ascii="Times New Roman Regular" w:hAnsi="Times New Roman Regular" w:cs="Times New Roman Regular"/>
                <w:kern w:val="2"/>
                <w:lang w:val="en-US" w:bidi="ar-SA"/>
              </w:rPr>
              <w:t>”</w:t>
            </w:r>
            <w:r>
              <w:rPr>
                <w:rFonts w:ascii="Times New Roman Regular" w:hAnsi="Times New Roman Regular" w:cs="Times New Roman Regular"/>
                <w:lang w:val="en-US"/>
              </w:rPr>
              <w:t>）</w:t>
            </w:r>
            <w:bookmarkStart w:id="0" w:name="_GoBack"/>
            <w:bookmarkEnd w:id="0"/>
            <w:r>
              <w:rPr>
                <w:rFonts w:ascii="Times New Roman Regular" w:hAnsi="Times New Roman Regular" w:cs="Times New Roman Regular"/>
                <w:lang w:val="en-US"/>
              </w:rPr>
              <w:t>分别与英美资源（荷兰）有限公司（</w:t>
            </w:r>
            <w:r>
              <w:rPr>
                <w:rFonts w:hint="eastAsia" w:ascii="Times New Roman Regular" w:hAnsi="Times New Roman Regular" w:cs="Times New Roman Regular"/>
                <w:kern w:val="2"/>
                <w:lang w:val="en-US" w:bidi="ar-SA"/>
              </w:rPr>
              <w:t>“</w:t>
            </w:r>
            <w:r>
              <w:rPr>
                <w:rFonts w:hint="eastAsia" w:ascii="Times New Roman Regular" w:hAnsi="Times New Roman Regular" w:cs="Times New Roman Regular"/>
                <w:b/>
                <w:bCs/>
                <w:kern w:val="2"/>
                <w:lang w:val="en-US" w:bidi="ar-SA"/>
              </w:rPr>
              <w:t>英美资源</w:t>
            </w:r>
            <w:r>
              <w:rPr>
                <w:rFonts w:hint="eastAsia" w:ascii="Times New Roman Regular" w:hAnsi="Times New Roman Regular" w:cs="Times New Roman Regular"/>
                <w:kern w:val="2"/>
                <w:lang w:val="en-US" w:bidi="ar-SA"/>
              </w:rPr>
              <w:t>”</w:t>
            </w:r>
            <w:r>
              <w:rPr>
                <w:rFonts w:ascii="Times New Roman Regular" w:hAnsi="Times New Roman Regular" w:cs="Times New Roman Regular"/>
                <w:lang w:val="en-US"/>
              </w:rPr>
              <w:t>）签署了协议。根据协议，皮博迪</w:t>
            </w:r>
            <w:r>
              <w:rPr>
                <w:rFonts w:hint="eastAsia" w:ascii="Times New Roman Regular" w:hAnsi="Times New Roman Regular" w:cs="Times New Roman Regular"/>
                <w:lang w:val="en-US"/>
              </w:rPr>
              <w:t>MNG</w:t>
            </w:r>
            <w:r>
              <w:rPr>
                <w:rFonts w:ascii="Times New Roman Regular" w:hAnsi="Times New Roman Regular" w:cs="Times New Roman Regular"/>
                <w:lang w:val="en-US"/>
              </w:rPr>
              <w:t>将</w:t>
            </w:r>
            <w:r>
              <w:rPr>
                <w:rFonts w:hint="eastAsia" w:ascii="Times New Roman Regular" w:hAnsi="Times New Roman Regular" w:cs="Times New Roman Regular"/>
                <w:lang w:val="en-US"/>
              </w:rPr>
              <w:t>购买</w:t>
            </w:r>
            <w:r>
              <w:rPr>
                <w:rFonts w:hint="eastAsia" w:ascii="Times New Roman Regular" w:hAnsi="Times New Roman Regular" w:cs="Times New Roman Regular"/>
                <w:kern w:val="2"/>
                <w:lang w:val="en-US" w:bidi="ar-SA"/>
              </w:rPr>
              <w:t>英美资源</w:t>
            </w:r>
            <w:r>
              <w:rPr>
                <w:rFonts w:ascii="Times New Roman Regular" w:hAnsi="Times New Roman Regular" w:cs="Times New Roman Regular"/>
                <w:lang w:val="en-US"/>
              </w:rPr>
              <w:t>在莫兰巴北煤矿和格罗夫纳煤矿中持有的权益，皮博迪</w:t>
            </w:r>
            <w:r>
              <w:rPr>
                <w:rFonts w:hint="eastAsia" w:ascii="Times New Roman Regular" w:hAnsi="Times New Roman Regular" w:cs="Times New Roman Regular"/>
                <w:lang w:val="en-US"/>
              </w:rPr>
              <w:t>SMC</w:t>
            </w:r>
            <w:r>
              <w:rPr>
                <w:rFonts w:ascii="Times New Roman Regular" w:hAnsi="Times New Roman Regular" w:cs="Times New Roman Regular"/>
                <w:lang w:val="en-US"/>
              </w:rPr>
              <w:t>将购买</w:t>
            </w:r>
            <w:r>
              <w:rPr>
                <w:rFonts w:hint="eastAsia" w:ascii="Times New Roman Regular" w:hAnsi="Times New Roman Regular" w:cs="Times New Roman Regular"/>
                <w:kern w:val="2"/>
                <w:lang w:val="en-US" w:bidi="ar-SA"/>
              </w:rPr>
              <w:t>英美资源</w:t>
            </w:r>
            <w:r>
              <w:rPr>
                <w:rFonts w:ascii="Times New Roman Regular" w:hAnsi="Times New Roman Regular" w:cs="Times New Roman Regular"/>
                <w:lang w:val="en-US"/>
              </w:rPr>
              <w:t>在莫兰巴南开发项目</w:t>
            </w:r>
            <w:r>
              <w:rPr>
                <w:rFonts w:hint="eastAsia" w:ascii="Times New Roman Regular" w:hAnsi="Times New Roman Regular" w:cs="Times New Roman Regular"/>
                <w:lang w:val="en-US"/>
              </w:rPr>
              <w:t>、</w:t>
            </w:r>
            <w:r>
              <w:rPr>
                <w:rFonts w:ascii="Times New Roman Regular" w:hAnsi="Times New Roman Regular" w:cs="Times New Roman Regular"/>
                <w:lang w:val="en-US"/>
              </w:rPr>
              <w:t>卡普</w:t>
            </w:r>
            <w:r>
              <w:rPr>
                <w:rFonts w:hint="eastAsia" w:ascii="Times New Roman Regular" w:hAnsi="Times New Roman Regular" w:cs="Times New Roman Regular"/>
                <w:lang w:val="en-US"/>
              </w:rPr>
              <w:t>克尔</w:t>
            </w:r>
            <w:r>
              <w:rPr>
                <w:rFonts w:ascii="Times New Roman Regular" w:hAnsi="Times New Roman Regular" w:cs="Times New Roman Regular"/>
                <w:lang w:val="en-US"/>
              </w:rPr>
              <w:t>煤炭综合体</w:t>
            </w:r>
            <w:r>
              <w:rPr>
                <w:rFonts w:hint="eastAsia" w:ascii="Times New Roman Regular" w:hAnsi="Times New Roman Regular" w:cs="Times New Roman Regular"/>
                <w:lang w:val="en-US"/>
              </w:rPr>
              <w:t>、</w:t>
            </w:r>
            <w:r>
              <w:rPr>
                <w:rFonts w:ascii="Times New Roman Regular" w:hAnsi="Times New Roman Regular" w:cs="Times New Roman Regular"/>
                <w:lang w:val="en-US"/>
              </w:rPr>
              <w:t>罗珀克里克煤矿和道森综合体中持有的权益。拟议交易前，目标业务由</w:t>
            </w:r>
            <w:r>
              <w:rPr>
                <w:rFonts w:hint="eastAsia" w:ascii="Times New Roman Regular" w:hAnsi="Times New Roman Regular" w:cs="Times New Roman Regular"/>
                <w:kern w:val="2"/>
                <w:lang w:val="en-US" w:bidi="ar-SA"/>
              </w:rPr>
              <w:t>英美资源</w:t>
            </w:r>
            <w:r>
              <w:rPr>
                <w:rFonts w:ascii="Times New Roman Regular" w:hAnsi="Times New Roman Regular" w:cs="Times New Roman Regular"/>
                <w:lang w:val="en-US"/>
              </w:rPr>
              <w:t>控制。拟议交易完成后，目标业务将由皮博迪控制。</w:t>
            </w:r>
          </w:p>
        </w:tc>
      </w:tr>
      <w:tr w14:paraId="14BC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42" w:hRule="atLeast"/>
        </w:trPr>
        <w:tc>
          <w:tcPr>
            <w:tcW w:w="1940" w:type="dxa"/>
            <w:vMerge w:val="restart"/>
            <w:shd w:val="clear" w:color="auto" w:fill="D9D9D9"/>
            <w:vAlign w:val="center"/>
          </w:tcPr>
          <w:p w14:paraId="6BFA90F8">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t>参与集中的经营者简介（每个限</w:t>
            </w:r>
            <w:r>
              <w:rPr>
                <w:rFonts w:ascii="Times New Roman Regular" w:hAnsi="Times New Roman Regular" w:cs="Times New Roman Regular"/>
                <w:bCs/>
                <w:color w:val="000000"/>
                <w:lang w:val="en-US" w:eastAsia="zh-CN"/>
              </w:rPr>
              <w:t>100字以内</w:t>
            </w:r>
            <w:r>
              <w:rPr>
                <w:rFonts w:ascii="Times New Roman Regular" w:hAnsi="Times New Roman Regular" w:cs="Times New Roman Regular"/>
                <w:bCs/>
                <w:color w:val="000000"/>
                <w:lang w:eastAsia="zh-CN"/>
              </w:rPr>
              <w:t>）</w:t>
            </w:r>
          </w:p>
        </w:tc>
        <w:tc>
          <w:tcPr>
            <w:tcW w:w="1607" w:type="dxa"/>
            <w:shd w:val="clear" w:color="auto" w:fill="auto"/>
            <w:vAlign w:val="center"/>
          </w:tcPr>
          <w:p w14:paraId="06985DC1">
            <w:pPr>
              <w:pStyle w:val="5"/>
              <w:adjustRightInd w:val="0"/>
              <w:snapToGrid w:val="0"/>
              <w:spacing w:after="0"/>
              <w:rPr>
                <w:rFonts w:ascii="Times New Roman Regular" w:hAnsi="Times New Roman Regular" w:cs="Times New Roman Regular"/>
                <w:bCs/>
                <w:color w:val="000000"/>
                <w:lang w:eastAsia="zh-CN"/>
              </w:rPr>
            </w:pPr>
            <w:r>
              <w:rPr>
                <w:rFonts w:ascii="Times New Roman Regular" w:hAnsi="Times New Roman Regular" w:cs="Times New Roman Regular"/>
                <w:szCs w:val="21"/>
                <w:lang w:val="en-US" w:eastAsia="zh-CN"/>
              </w:rPr>
              <w:t>1.皮博迪</w:t>
            </w:r>
            <w:r>
              <w:rPr>
                <w:rFonts w:ascii="Times New Roman Regular" w:hAnsi="Times New Roman Regular" w:cs="Times New Roman Regular"/>
                <w:szCs w:val="21"/>
                <w:lang w:val="en-US"/>
              </w:rPr>
              <w:t xml:space="preserve"> SMC</w:t>
            </w:r>
          </w:p>
        </w:tc>
        <w:tc>
          <w:tcPr>
            <w:tcW w:w="6093" w:type="dxa"/>
            <w:shd w:val="clear" w:color="auto" w:fill="auto"/>
            <w:vAlign w:val="center"/>
          </w:tcPr>
          <w:p w14:paraId="1E5158B5">
            <w:pPr>
              <w:widowControl w:val="0"/>
              <w:spacing w:before="120" w:after="120"/>
              <w:rPr>
                <w:rFonts w:ascii="Times New Roman Regular" w:hAnsi="Times New Roman Regular" w:cs="Times New Roman Regular"/>
                <w:kern w:val="2"/>
                <w:lang w:val="en-US" w:bidi="ar-SA"/>
              </w:rPr>
            </w:pPr>
            <w:r>
              <w:rPr>
                <w:rFonts w:ascii="Times New Roman Regular" w:hAnsi="Times New Roman Regular" w:cs="Times New Roman Regular"/>
                <w:kern w:val="2"/>
                <w:lang w:val="en-US" w:bidi="ar-SA"/>
              </w:rPr>
              <w:t>皮博迪SMC于2024年11月12日成立于澳大利亚，是为了完成拟议交易且运营相关业务而成立的公司。</w:t>
            </w:r>
          </w:p>
          <w:p w14:paraId="6750759C">
            <w:pPr>
              <w:widowControl w:val="0"/>
              <w:spacing w:before="120" w:after="120"/>
              <w:rPr>
                <w:rFonts w:hint="eastAsia" w:ascii="Times New Roman Regular" w:hAnsi="Times New Roman Regular" w:cs="Times New Roman Regular"/>
                <w:kern w:val="2"/>
                <w:lang w:val="en-US" w:bidi="ar-SA"/>
              </w:rPr>
            </w:pPr>
            <w:r>
              <w:rPr>
                <w:rFonts w:ascii="Times New Roman Regular" w:hAnsi="Times New Roman Regular" w:cs="Times New Roman Regular"/>
                <w:kern w:val="2"/>
                <w:lang w:val="en-US" w:bidi="ar-SA"/>
              </w:rPr>
              <w:t>皮博迪SMC由皮博迪能源公司</w:t>
            </w:r>
            <w:r>
              <w:rPr>
                <w:rFonts w:hint="eastAsia" w:ascii="Times New Roman Regular" w:hAnsi="Times New Roman Regular" w:cs="Times New Roman Regular"/>
                <w:kern w:val="2"/>
                <w:lang w:val="en-US" w:bidi="ar-SA"/>
              </w:rPr>
              <w:t>（“</w:t>
            </w:r>
            <w:r>
              <w:rPr>
                <w:rFonts w:ascii="Times New Roman Regular" w:hAnsi="Times New Roman Regular" w:cs="Times New Roman Regular"/>
                <w:kern w:val="2"/>
                <w:lang w:val="en-US" w:bidi="ar-SA"/>
              </w:rPr>
              <w:t>皮博迪</w:t>
            </w:r>
            <w:r>
              <w:rPr>
                <w:rFonts w:hint="eastAsia" w:ascii="Times New Roman Regular" w:hAnsi="Times New Roman Regular" w:cs="Times New Roman Regular"/>
                <w:kern w:val="2"/>
                <w:lang w:val="en-US" w:bidi="ar-SA"/>
              </w:rPr>
              <w:t>”）</w:t>
            </w:r>
            <w:r>
              <w:rPr>
                <w:rFonts w:ascii="Times New Roman Regular" w:hAnsi="Times New Roman Regular" w:cs="Times New Roman Regular"/>
                <w:kern w:val="2"/>
                <w:lang w:val="en-US" w:bidi="ar-SA"/>
              </w:rPr>
              <w:t>最终控制。皮博迪</w:t>
            </w:r>
            <w:r>
              <w:rPr>
                <w:rFonts w:hint="eastAsia" w:ascii="Times New Roman Regular" w:hAnsi="Times New Roman Regular" w:cs="Times New Roman Regular"/>
                <w:kern w:val="2"/>
                <w:lang w:val="en-US" w:bidi="ar-SA"/>
              </w:rPr>
              <w:t>主要</w:t>
            </w:r>
            <w:r>
              <w:rPr>
                <w:rFonts w:ascii="Times New Roman Regular" w:hAnsi="Times New Roman Regular" w:cs="Times New Roman Regular"/>
                <w:kern w:val="2"/>
                <w:lang w:val="en-US" w:bidi="ar-SA"/>
              </w:rPr>
              <w:t>生产</w:t>
            </w:r>
            <w:r>
              <w:rPr>
                <w:rFonts w:hint="eastAsia" w:ascii="Times New Roman Regular" w:hAnsi="Times New Roman Regular" w:cs="Times New Roman Regular"/>
                <w:kern w:val="2"/>
                <w:lang w:val="en-US" w:bidi="ar-SA"/>
              </w:rPr>
              <w:t>开</w:t>
            </w:r>
            <w:r>
              <w:rPr>
                <w:rFonts w:ascii="Times New Roman Regular" w:hAnsi="Times New Roman Regular" w:cs="Times New Roman Regular"/>
                <w:kern w:val="2"/>
                <w:lang w:val="en-US" w:bidi="ar-SA"/>
              </w:rPr>
              <w:t>采自位于美国和澳大利亚的矿山的动力煤和炼焦煤</w:t>
            </w:r>
            <w:r>
              <w:rPr>
                <w:rFonts w:hint="eastAsia" w:ascii="Times New Roman Regular" w:hAnsi="Times New Roman Regular" w:cs="Times New Roman Regular"/>
                <w:kern w:val="2"/>
                <w:lang w:val="en-US" w:bidi="ar-SA"/>
              </w:rPr>
              <w:t>，并将这些煤炭销售给客户。</w:t>
            </w:r>
          </w:p>
        </w:tc>
      </w:tr>
      <w:tr w14:paraId="2EAF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D9D9D9"/>
            <w:vAlign w:val="center"/>
          </w:tcPr>
          <w:p w14:paraId="2B0D18C0">
            <w:pPr>
              <w:pStyle w:val="5"/>
              <w:adjustRightInd w:val="0"/>
              <w:snapToGrid w:val="0"/>
              <w:spacing w:after="0"/>
              <w:rPr>
                <w:rFonts w:ascii="Times New Roman Regular" w:hAnsi="Times New Roman Regular" w:cs="Times New Roman Regular"/>
                <w:bCs/>
                <w:color w:val="000000"/>
                <w:lang w:val="en-US" w:eastAsia="zh-CN"/>
              </w:rPr>
            </w:pPr>
          </w:p>
        </w:tc>
        <w:tc>
          <w:tcPr>
            <w:tcW w:w="1607" w:type="dxa"/>
            <w:shd w:val="clear" w:color="auto" w:fill="auto"/>
            <w:vAlign w:val="center"/>
          </w:tcPr>
          <w:p w14:paraId="307B44A2">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val="en-US" w:eastAsia="zh-CN"/>
              </w:rPr>
              <w:t>2.</w:t>
            </w:r>
            <w:r>
              <w:rPr>
                <w:rFonts w:ascii="Times New Roman Regular" w:hAnsi="Times New Roman Regular" w:cs="Times New Roman Regular"/>
                <w:szCs w:val="21"/>
              </w:rPr>
              <w:t xml:space="preserve"> </w:t>
            </w:r>
            <w:r>
              <w:rPr>
                <w:rFonts w:ascii="Times New Roman Regular" w:hAnsi="Times New Roman Regular" w:cs="Times New Roman Regular"/>
                <w:szCs w:val="21"/>
                <w:lang w:val="en-US" w:eastAsia="zh-CN"/>
              </w:rPr>
              <w:t>皮博迪MNG</w:t>
            </w:r>
          </w:p>
        </w:tc>
        <w:tc>
          <w:tcPr>
            <w:tcW w:w="6093" w:type="dxa"/>
            <w:shd w:val="clear" w:color="auto" w:fill="auto"/>
            <w:vAlign w:val="center"/>
          </w:tcPr>
          <w:p w14:paraId="0404CE40">
            <w:pPr>
              <w:widowControl w:val="0"/>
              <w:spacing w:before="120" w:after="120"/>
              <w:rPr>
                <w:rFonts w:ascii="Times New Roman Regular" w:hAnsi="Times New Roman Regular" w:cs="Times New Roman Regular"/>
                <w:kern w:val="2"/>
                <w:lang w:val="en-US" w:bidi="ar-SA"/>
              </w:rPr>
            </w:pPr>
            <w:r>
              <w:rPr>
                <w:rFonts w:ascii="Times New Roman Regular" w:hAnsi="Times New Roman Regular" w:cs="Times New Roman Regular"/>
                <w:kern w:val="2"/>
                <w:lang w:val="en-US" w:bidi="ar-SA"/>
              </w:rPr>
              <w:t>皮博迪MNG于2024年11月12日成立于澳大利亚，是为了完成拟议交易且运营相关业务而成立的公司。</w:t>
            </w:r>
          </w:p>
          <w:p w14:paraId="280DA640">
            <w:pPr>
              <w:widowControl w:val="0"/>
              <w:spacing w:before="120" w:after="120"/>
              <w:rPr>
                <w:rFonts w:hint="eastAsia" w:ascii="Times New Roman Regular" w:hAnsi="Times New Roman Regular" w:cs="Times New Roman Regular"/>
                <w:kern w:val="2"/>
                <w:lang w:val="en-US" w:bidi="ar-SA"/>
              </w:rPr>
            </w:pPr>
            <w:r>
              <w:rPr>
                <w:rFonts w:ascii="Times New Roman Regular" w:hAnsi="Times New Roman Regular" w:cs="Times New Roman Regular"/>
                <w:kern w:val="2"/>
                <w:lang w:val="en-US" w:bidi="ar-SA"/>
              </w:rPr>
              <w:t>皮博迪MNG由皮博迪最终控制。皮博迪</w:t>
            </w:r>
            <w:r>
              <w:rPr>
                <w:rFonts w:hint="eastAsia" w:ascii="Times New Roman Regular" w:hAnsi="Times New Roman Regular" w:cs="Times New Roman Regular"/>
                <w:kern w:val="2"/>
                <w:lang w:val="en-US" w:bidi="ar-SA"/>
              </w:rPr>
              <w:t>主要</w:t>
            </w:r>
            <w:r>
              <w:rPr>
                <w:rFonts w:ascii="Times New Roman Regular" w:hAnsi="Times New Roman Regular" w:cs="Times New Roman Regular"/>
                <w:kern w:val="2"/>
                <w:lang w:val="en-US" w:bidi="ar-SA"/>
              </w:rPr>
              <w:t>生产</w:t>
            </w:r>
            <w:r>
              <w:rPr>
                <w:rFonts w:hint="eastAsia" w:ascii="Times New Roman Regular" w:hAnsi="Times New Roman Regular" w:cs="Times New Roman Regular"/>
                <w:kern w:val="2"/>
                <w:lang w:val="en-US" w:bidi="ar-SA"/>
              </w:rPr>
              <w:t>开</w:t>
            </w:r>
            <w:r>
              <w:rPr>
                <w:rFonts w:ascii="Times New Roman Regular" w:hAnsi="Times New Roman Regular" w:cs="Times New Roman Regular"/>
                <w:kern w:val="2"/>
                <w:lang w:val="en-US" w:bidi="ar-SA"/>
              </w:rPr>
              <w:t>采自位于美国和澳大利亚的矿山的动力煤和炼焦煤</w:t>
            </w:r>
            <w:r>
              <w:rPr>
                <w:rFonts w:hint="eastAsia" w:ascii="Times New Roman Regular" w:hAnsi="Times New Roman Regular" w:cs="Times New Roman Regular"/>
                <w:kern w:val="2"/>
                <w:lang w:val="en-US" w:bidi="ar-SA"/>
              </w:rPr>
              <w:t>，并将这些煤炭销售给客户。</w:t>
            </w:r>
          </w:p>
        </w:tc>
      </w:tr>
      <w:tr w14:paraId="3D5A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D9D9D9"/>
            <w:vAlign w:val="center"/>
          </w:tcPr>
          <w:p w14:paraId="2670D078">
            <w:pPr>
              <w:pStyle w:val="5"/>
              <w:adjustRightInd w:val="0"/>
              <w:snapToGrid w:val="0"/>
              <w:spacing w:after="0"/>
              <w:rPr>
                <w:rFonts w:ascii="Times New Roman Regular" w:hAnsi="Times New Roman Regular" w:cs="Times New Roman Regular"/>
                <w:bCs/>
                <w:color w:val="000000"/>
                <w:lang w:val="en-US" w:eastAsia="zh-CN"/>
              </w:rPr>
            </w:pPr>
          </w:p>
        </w:tc>
        <w:tc>
          <w:tcPr>
            <w:tcW w:w="1607" w:type="dxa"/>
            <w:shd w:val="clear" w:color="auto" w:fill="auto"/>
            <w:vAlign w:val="center"/>
          </w:tcPr>
          <w:p w14:paraId="50FA5EEA">
            <w:pPr>
              <w:pStyle w:val="5"/>
              <w:numPr>
                <w:ilvl w:val="0"/>
                <w:numId w:val="4"/>
              </w:numPr>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val="en-US" w:eastAsia="zh-CN"/>
              </w:rPr>
              <w:t>目标业务</w:t>
            </w:r>
          </w:p>
        </w:tc>
        <w:tc>
          <w:tcPr>
            <w:tcW w:w="6093" w:type="dxa"/>
            <w:shd w:val="clear" w:color="auto" w:fill="auto"/>
            <w:vAlign w:val="center"/>
          </w:tcPr>
          <w:p w14:paraId="30181040">
            <w:pPr>
              <w:widowControl w:val="0"/>
              <w:adjustRightInd w:val="0"/>
              <w:snapToGrid w:val="0"/>
              <w:spacing w:after="0"/>
              <w:rPr>
                <w:rFonts w:ascii="Times New Roman Regular" w:hAnsi="Times New Roman Regular" w:cs="Times New Roman Regular"/>
                <w:bCs/>
                <w:color w:val="000000"/>
                <w:lang w:val="en-US"/>
              </w:rPr>
            </w:pPr>
            <w:r>
              <w:rPr>
                <w:rFonts w:hint="eastAsia" w:ascii="Times New Roman Regular" w:hAnsi="Times New Roman Regular" w:cs="Times New Roman Regular"/>
                <w:bCs/>
                <w:color w:val="000000"/>
                <w:lang w:val="en-US"/>
              </w:rPr>
              <w:t>目标业务包括</w:t>
            </w:r>
            <w:r>
              <w:rPr>
                <w:rFonts w:hint="eastAsia" w:ascii="Times New Roman Regular" w:hAnsi="Times New Roman Regular" w:cs="Times New Roman Regular"/>
                <w:kern w:val="2"/>
                <w:lang w:val="en-US" w:bidi="ar-SA"/>
              </w:rPr>
              <w:t>英美资源在与其</w:t>
            </w:r>
            <w:r>
              <w:rPr>
                <w:rFonts w:hint="eastAsia" w:ascii="Times New Roman Regular" w:hAnsi="Times New Roman Regular" w:cs="Times New Roman Regular"/>
                <w:bCs/>
                <w:color w:val="000000"/>
                <w:lang w:val="en-US"/>
              </w:rPr>
              <w:t>位于澳大利亚的炼焦煤矿组合相关的几乎全部资产和业务中持有的权益。该煤矿组合包括莫兰巴北煤矿和格罗夫纳煤矿、莫兰巴南开发项目、卡普</w:t>
            </w:r>
            <w:r>
              <w:rPr>
                <w:rFonts w:hint="eastAsia" w:ascii="Times New Roman Regular" w:hAnsi="Times New Roman Regular" w:cs="Times New Roman Regular"/>
                <w:lang w:val="en-US"/>
              </w:rPr>
              <w:t>克尔</w:t>
            </w:r>
            <w:r>
              <w:rPr>
                <w:rFonts w:hint="eastAsia" w:ascii="Times New Roman Regular" w:hAnsi="Times New Roman Regular" w:cs="Times New Roman Regular"/>
                <w:bCs/>
                <w:color w:val="000000"/>
                <w:lang w:val="en-US"/>
              </w:rPr>
              <w:t>煤炭综合体、罗珀克里克煤矿和道森综合体。</w:t>
            </w:r>
          </w:p>
          <w:p w14:paraId="2634278A">
            <w:pPr>
              <w:widowControl w:val="0"/>
              <w:adjustRightInd w:val="0"/>
              <w:snapToGrid w:val="0"/>
              <w:spacing w:after="0"/>
              <w:rPr>
                <w:rFonts w:ascii="Times New Roman Regular" w:hAnsi="Times New Roman Regular" w:cs="Times New Roman Regular"/>
                <w:bCs/>
                <w:color w:val="000000"/>
                <w:lang w:val="en-US"/>
              </w:rPr>
            </w:pPr>
          </w:p>
          <w:p w14:paraId="08479638">
            <w:pPr>
              <w:widowControl w:val="0"/>
              <w:spacing w:before="120" w:after="120"/>
              <w:rPr>
                <w:rFonts w:hint="eastAsia" w:ascii="Times New Roman Regular" w:hAnsi="Times New Roman Regular" w:cs="Times New Roman Regular"/>
                <w:bCs/>
                <w:color w:val="000000"/>
                <w:lang w:val="en-US"/>
              </w:rPr>
            </w:pPr>
            <w:r>
              <w:rPr>
                <w:rFonts w:hint="eastAsia" w:ascii="Times New Roman Regular" w:hAnsi="Times New Roman Regular" w:cs="Times New Roman Regular"/>
                <w:bCs/>
                <w:color w:val="000000"/>
                <w:lang w:val="en-US"/>
              </w:rPr>
              <w:t>目标业务由英美资源集团股份有限公司最终控制。英美资源集团股份有限公司是众多商品（包括炼焦煤、铜、钻石、杂卤石、镍、铁矿石、锰和铂金）的生产商和供应商。</w:t>
            </w:r>
          </w:p>
        </w:tc>
      </w:tr>
      <w:tr w14:paraId="0E1F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940" w:type="dxa"/>
            <w:vMerge w:val="restart"/>
            <w:shd w:val="clear" w:color="auto" w:fill="D9D9D9"/>
            <w:vAlign w:val="center"/>
          </w:tcPr>
          <w:p w14:paraId="594ED2A5">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t>简易案件理由（可以单选，也可以多选）</w:t>
            </w:r>
          </w:p>
        </w:tc>
        <w:tc>
          <w:tcPr>
            <w:tcW w:w="7700" w:type="dxa"/>
            <w:gridSpan w:val="2"/>
            <w:vAlign w:val="center"/>
          </w:tcPr>
          <w:p w14:paraId="3FF3FC34">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FE"/>
            </w:r>
            <w:r>
              <w:rPr>
                <w:rFonts w:ascii="Times New Roman Regular" w:hAnsi="Times New Roman Regular" w:cs="Times New Roman Regular"/>
                <w:bCs/>
                <w:color w:val="000000"/>
                <w:lang w:eastAsia="zh-CN"/>
              </w:rPr>
              <w:t xml:space="preserve"> 1、在同一相关市场，所有参与集中的经营者所占市场份额之和小于15%。</w:t>
            </w:r>
          </w:p>
        </w:tc>
      </w:tr>
      <w:tr w14:paraId="54BD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940" w:type="dxa"/>
            <w:vMerge w:val="continue"/>
            <w:shd w:val="clear" w:color="auto" w:fill="D9D9D9"/>
            <w:vAlign w:val="center"/>
          </w:tcPr>
          <w:p w14:paraId="5AEE4683">
            <w:pPr>
              <w:pStyle w:val="5"/>
              <w:adjustRightInd w:val="0"/>
              <w:snapToGrid w:val="0"/>
              <w:spacing w:after="0"/>
              <w:rPr>
                <w:rFonts w:ascii="Times New Roman Regular" w:hAnsi="Times New Roman Regular" w:cs="Times New Roman Regular"/>
                <w:bCs/>
                <w:color w:val="000000"/>
                <w:lang w:val="en-US" w:eastAsia="zh-CN"/>
              </w:rPr>
            </w:pPr>
          </w:p>
        </w:tc>
        <w:tc>
          <w:tcPr>
            <w:tcW w:w="7700" w:type="dxa"/>
            <w:gridSpan w:val="2"/>
            <w:vAlign w:val="center"/>
          </w:tcPr>
          <w:p w14:paraId="021402D5">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A8"/>
            </w:r>
            <w:r>
              <w:rPr>
                <w:rFonts w:ascii="Times New Roman Regular" w:hAnsi="Times New Roman Regular" w:cs="Times New Roman Regular"/>
                <w:bCs/>
                <w:color w:val="000000"/>
                <w:lang w:eastAsia="zh-CN"/>
              </w:rPr>
              <w:t xml:space="preserve"> 2、存在上下游关系的参与集中的经营者，在上下游市场所占的市场份额均小于25%。</w:t>
            </w:r>
          </w:p>
        </w:tc>
      </w:tr>
      <w:tr w14:paraId="54B0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940" w:type="dxa"/>
            <w:vMerge w:val="continue"/>
            <w:shd w:val="clear" w:color="auto" w:fill="D9D9D9"/>
            <w:vAlign w:val="center"/>
          </w:tcPr>
          <w:p w14:paraId="011D432F">
            <w:pPr>
              <w:pStyle w:val="5"/>
              <w:adjustRightInd w:val="0"/>
              <w:snapToGrid w:val="0"/>
              <w:spacing w:after="0"/>
              <w:rPr>
                <w:rFonts w:ascii="Times New Roman Regular" w:hAnsi="Times New Roman Regular" w:cs="Times New Roman Regular"/>
                <w:bCs/>
                <w:color w:val="000000"/>
                <w:lang w:val="en-US" w:eastAsia="zh-CN"/>
              </w:rPr>
            </w:pPr>
          </w:p>
        </w:tc>
        <w:tc>
          <w:tcPr>
            <w:tcW w:w="7700" w:type="dxa"/>
            <w:gridSpan w:val="2"/>
            <w:vAlign w:val="center"/>
          </w:tcPr>
          <w:p w14:paraId="5AA7067D">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A8"/>
            </w:r>
            <w:r>
              <w:rPr>
                <w:rFonts w:ascii="Times New Roman Regular" w:hAnsi="Times New Roman Regular" w:cs="Times New Roman Regular"/>
                <w:bCs/>
                <w:color w:val="000000"/>
                <w:lang w:eastAsia="zh-CN"/>
              </w:rPr>
              <w:t xml:space="preserve"> 3、不在同一相关市场、也不存在上下游关系的参与集中的经营者，在与交易有关的每个市场所占的份额均小于25%。</w:t>
            </w:r>
          </w:p>
        </w:tc>
      </w:tr>
      <w:tr w14:paraId="4054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940" w:type="dxa"/>
            <w:vMerge w:val="continue"/>
            <w:shd w:val="clear" w:color="auto" w:fill="D9D9D9"/>
            <w:vAlign w:val="center"/>
          </w:tcPr>
          <w:p w14:paraId="1DD77906">
            <w:pPr>
              <w:pStyle w:val="5"/>
              <w:adjustRightInd w:val="0"/>
              <w:snapToGrid w:val="0"/>
              <w:spacing w:after="0"/>
              <w:rPr>
                <w:rFonts w:ascii="Times New Roman Regular" w:hAnsi="Times New Roman Regular" w:cs="Times New Roman Regular"/>
                <w:bCs/>
                <w:color w:val="000000"/>
                <w:lang w:val="en-US" w:eastAsia="zh-CN"/>
              </w:rPr>
            </w:pPr>
          </w:p>
        </w:tc>
        <w:tc>
          <w:tcPr>
            <w:tcW w:w="7700" w:type="dxa"/>
            <w:gridSpan w:val="2"/>
            <w:vAlign w:val="center"/>
          </w:tcPr>
          <w:p w14:paraId="6E4AA2CF">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A8"/>
            </w:r>
            <w:r>
              <w:rPr>
                <w:rFonts w:ascii="Times New Roman Regular" w:hAnsi="Times New Roman Regular" w:cs="Times New Roman Regular"/>
                <w:bCs/>
                <w:color w:val="000000"/>
                <w:lang w:eastAsia="zh-CN"/>
              </w:rPr>
              <w:t xml:space="preserve"> 4、参与集中的经营者在中国境外设立合营企业，合营企业不在中国境内从事经济活动。</w:t>
            </w:r>
          </w:p>
        </w:tc>
      </w:tr>
      <w:tr w14:paraId="78E1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940" w:type="dxa"/>
            <w:vMerge w:val="continue"/>
            <w:shd w:val="clear" w:color="auto" w:fill="D9D9D9"/>
            <w:vAlign w:val="center"/>
          </w:tcPr>
          <w:p w14:paraId="1105DB72">
            <w:pPr>
              <w:pStyle w:val="5"/>
              <w:adjustRightInd w:val="0"/>
              <w:snapToGrid w:val="0"/>
              <w:spacing w:after="0"/>
              <w:rPr>
                <w:rFonts w:ascii="Times New Roman Regular" w:hAnsi="Times New Roman Regular" w:cs="Times New Roman Regular"/>
                <w:bCs/>
                <w:color w:val="000000"/>
                <w:lang w:val="en-US" w:eastAsia="zh-CN"/>
              </w:rPr>
            </w:pPr>
          </w:p>
        </w:tc>
        <w:tc>
          <w:tcPr>
            <w:tcW w:w="7700" w:type="dxa"/>
            <w:gridSpan w:val="2"/>
            <w:vAlign w:val="center"/>
          </w:tcPr>
          <w:p w14:paraId="28C06B4C">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A8"/>
            </w:r>
            <w:r>
              <w:rPr>
                <w:rFonts w:ascii="Times New Roman Regular" w:hAnsi="Times New Roman Regular" w:cs="Times New Roman Regular"/>
                <w:bCs/>
                <w:color w:val="000000"/>
                <w:lang w:eastAsia="zh-CN"/>
              </w:rPr>
              <w:t xml:space="preserve"> 5、参与集中的经营者收购境外企业股权或资产的，该境外企业不在中国境内从事经济活动。</w:t>
            </w:r>
          </w:p>
        </w:tc>
      </w:tr>
      <w:tr w14:paraId="4BF2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940" w:type="dxa"/>
            <w:vMerge w:val="continue"/>
            <w:shd w:val="clear" w:color="auto" w:fill="D9D9D9"/>
            <w:vAlign w:val="center"/>
          </w:tcPr>
          <w:p w14:paraId="6E160492">
            <w:pPr>
              <w:pStyle w:val="5"/>
              <w:adjustRightInd w:val="0"/>
              <w:snapToGrid w:val="0"/>
              <w:spacing w:after="0"/>
              <w:rPr>
                <w:rFonts w:ascii="Times New Roman Regular" w:hAnsi="Times New Roman Regular" w:cs="Times New Roman Regular"/>
                <w:bCs/>
                <w:color w:val="000000"/>
                <w:lang w:val="en-US" w:eastAsia="zh-CN"/>
              </w:rPr>
            </w:pPr>
          </w:p>
        </w:tc>
        <w:tc>
          <w:tcPr>
            <w:tcW w:w="7700" w:type="dxa"/>
            <w:gridSpan w:val="2"/>
            <w:vAlign w:val="center"/>
          </w:tcPr>
          <w:p w14:paraId="5DBA3791">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eastAsia="zh-CN"/>
              </w:rPr>
              <w:sym w:font="Wingdings" w:char="00A8"/>
            </w:r>
            <w:r>
              <w:rPr>
                <w:rFonts w:ascii="Times New Roman Regular" w:hAnsi="Times New Roman Regular" w:cs="Times New Roman Regular"/>
                <w:bCs/>
                <w:color w:val="000000"/>
                <w:lang w:eastAsia="zh-CN"/>
              </w:rPr>
              <w:t xml:space="preserve"> 6、由两个以上的经营者共同控制的合营企业，通过集中被其中一个或一个以上经营者控制。</w:t>
            </w:r>
          </w:p>
        </w:tc>
      </w:tr>
      <w:tr w14:paraId="1E89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0" w:hRule="atLeast"/>
        </w:trPr>
        <w:tc>
          <w:tcPr>
            <w:tcW w:w="1940" w:type="dxa"/>
            <w:shd w:val="clear" w:color="auto" w:fill="D9D9D9"/>
            <w:vAlign w:val="center"/>
          </w:tcPr>
          <w:p w14:paraId="386953B9">
            <w:pPr>
              <w:pStyle w:val="5"/>
              <w:adjustRightInd w:val="0"/>
              <w:snapToGrid w:val="0"/>
              <w:spacing w:after="0"/>
              <w:rPr>
                <w:rFonts w:ascii="Times New Roman Regular" w:hAnsi="Times New Roman Regular" w:cs="Times New Roman Regular"/>
                <w:bCs/>
                <w:color w:val="000000"/>
                <w:lang w:val="en-US" w:eastAsia="zh-CN"/>
              </w:rPr>
            </w:pPr>
            <w:r>
              <w:rPr>
                <w:rFonts w:ascii="Times New Roman Regular" w:hAnsi="Times New Roman Regular" w:cs="Times New Roman Regular"/>
                <w:bCs/>
                <w:color w:val="000000"/>
                <w:lang w:val="en-US" w:eastAsia="zh-CN"/>
              </w:rPr>
              <w:t>备注</w:t>
            </w:r>
          </w:p>
        </w:tc>
        <w:tc>
          <w:tcPr>
            <w:tcW w:w="7700" w:type="dxa"/>
            <w:gridSpan w:val="2"/>
            <w:vAlign w:val="center"/>
          </w:tcPr>
          <w:p w14:paraId="3BBDAF68">
            <w:pPr>
              <w:pStyle w:val="5"/>
              <w:adjustRightInd w:val="0"/>
              <w:spacing w:after="0"/>
              <w:rPr>
                <w:rFonts w:ascii="Times New Roman Regular" w:hAnsi="Times New Roman Regular" w:cs="Times New Roman Regular"/>
                <w:b/>
                <w:bCs/>
                <w:color w:val="000000"/>
                <w:lang w:val="en-US" w:eastAsia="zh-CN"/>
              </w:rPr>
            </w:pPr>
            <w:r>
              <w:rPr>
                <w:rFonts w:ascii="Times New Roman Regular" w:hAnsi="Times New Roman Regular" w:cs="Times New Roman Regular"/>
                <w:b/>
                <w:bCs/>
                <w:color w:val="000000"/>
                <w:lang w:val="en-US" w:eastAsia="zh-CN"/>
              </w:rPr>
              <w:t>横向重叠：</w:t>
            </w:r>
          </w:p>
          <w:p w14:paraId="76FF0264">
            <w:pPr>
              <w:pStyle w:val="5"/>
              <w:adjustRightInd w:val="0"/>
              <w:snapToGrid w:val="0"/>
              <w:spacing w:after="0"/>
              <w:rPr>
                <w:rFonts w:ascii="Times New Roman Regular" w:hAnsi="Times New Roman Regular" w:cs="Times New Roman Regular"/>
                <w:bCs/>
                <w:color w:val="000000"/>
                <w:lang w:val="en-US" w:eastAsia="zh-CN"/>
              </w:rPr>
            </w:pPr>
          </w:p>
          <w:p w14:paraId="300BBFD3">
            <w:pPr>
              <w:pStyle w:val="5"/>
              <w:adjustRightInd w:val="0"/>
              <w:snapToGrid w:val="0"/>
              <w:spacing w:after="0"/>
              <w:rPr>
                <w:rFonts w:ascii="Times New Roman Regular" w:hAnsi="Times New Roman Regular" w:cs="Times New Roman Regular"/>
                <w:bCs/>
                <w:color w:val="000000"/>
                <w:lang w:val="en-US" w:eastAsia="zh-CN"/>
              </w:rPr>
            </w:pPr>
            <w:r>
              <w:rPr>
                <w:rFonts w:hint="eastAsia" w:ascii="Times New Roman Regular" w:hAnsi="Times New Roman Regular" w:cs="Times New Roman Regular"/>
                <w:bCs/>
                <w:color w:val="000000"/>
                <w:lang w:val="en-US" w:eastAsia="zh-CN"/>
              </w:rPr>
              <w:t>2023年中国境内</w:t>
            </w:r>
            <w:r>
              <w:rPr>
                <w:rFonts w:ascii="Times New Roman Regular" w:hAnsi="Times New Roman Regular" w:cs="Times New Roman Regular"/>
                <w:bCs/>
                <w:color w:val="000000"/>
                <w:lang w:val="en-US" w:eastAsia="zh-CN"/>
              </w:rPr>
              <w:t>炼焦煤</w:t>
            </w:r>
            <w:r>
              <w:rPr>
                <w:rFonts w:hint="eastAsia" w:ascii="Times New Roman Regular" w:hAnsi="Times New Roman Regular" w:cs="Times New Roman Regular"/>
                <w:bCs/>
                <w:color w:val="000000"/>
                <w:lang w:val="en-US" w:eastAsia="zh-CN"/>
              </w:rPr>
              <w:t>供应</w:t>
            </w:r>
            <w:r>
              <w:rPr>
                <w:rFonts w:ascii="Times New Roman Regular" w:hAnsi="Times New Roman Regular" w:cs="Times New Roman Regular"/>
                <w:bCs/>
                <w:color w:val="000000"/>
                <w:lang w:val="en-US" w:eastAsia="zh-CN"/>
              </w:rPr>
              <w:t>市场</w:t>
            </w:r>
            <w:r>
              <w:rPr>
                <w:rFonts w:hint="eastAsia" w:ascii="Times New Roman Regular" w:hAnsi="Times New Roman Regular" w:cs="Times New Roman Regular"/>
                <w:bCs/>
                <w:color w:val="000000"/>
                <w:lang w:val="en-US" w:eastAsia="zh-CN"/>
              </w:rPr>
              <w:t>：</w:t>
            </w:r>
          </w:p>
          <w:p w14:paraId="5A057E55">
            <w:pPr>
              <w:pStyle w:val="5"/>
              <w:adjustRightInd w:val="0"/>
              <w:snapToGrid w:val="0"/>
              <w:spacing w:after="0"/>
              <w:rPr>
                <w:rFonts w:ascii="Times New Roman Regular" w:hAnsi="Times New Roman Regular" w:cs="Times New Roman Regular"/>
                <w:bCs/>
                <w:color w:val="000000"/>
                <w:lang w:val="en-US" w:eastAsia="zh-CN"/>
              </w:rPr>
            </w:pPr>
            <w:r>
              <w:rPr>
                <w:rFonts w:hint="eastAsia" w:ascii="Times New Roman Regular" w:hAnsi="Times New Roman Regular" w:cs="Times New Roman Regular"/>
                <w:bCs/>
                <w:color w:val="000000"/>
                <w:lang w:val="en-US" w:eastAsia="zh-CN"/>
              </w:rPr>
              <w:t>皮博迪：[0-5]%, 目标业务：[0-5]%, 各方合计：[0-5]%</w:t>
            </w:r>
          </w:p>
          <w:p w14:paraId="46574F4A">
            <w:pPr>
              <w:pStyle w:val="5"/>
              <w:adjustRightInd w:val="0"/>
              <w:snapToGrid w:val="0"/>
              <w:spacing w:after="0"/>
              <w:rPr>
                <w:rFonts w:hint="eastAsia" w:ascii="Times New Roman Regular" w:hAnsi="Times New Roman Regular" w:cs="Times New Roman Regular"/>
                <w:bCs/>
                <w:color w:val="000000"/>
                <w:lang w:val="en-US" w:eastAsia="zh-CN"/>
              </w:rPr>
            </w:pPr>
          </w:p>
        </w:tc>
      </w:tr>
    </w:tbl>
    <w:p w14:paraId="22DBF08D">
      <w:pPr>
        <w:pStyle w:val="5"/>
        <w:adjustRightInd w:val="0"/>
        <w:snapToGrid w:val="0"/>
        <w:spacing w:after="0"/>
        <w:rPr>
          <w:rFonts w:ascii="Arial" w:hAnsi="Arial" w:eastAsia="楷体_GB2312" w:cs="Arial"/>
          <w:b/>
          <w:color w:val="000000"/>
          <w:sz w:val="22"/>
          <w:szCs w:val="22"/>
          <w:lang w:eastAsia="zh-CN"/>
        </w:rPr>
      </w:pPr>
    </w:p>
    <w:sectPr>
      <w:footerReference r:id="rId4"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plified Arabic">
    <w:altName w:val="Thonburi"/>
    <w:panose1 w:val="00000000000000000000"/>
    <w:charset w:val="B2"/>
    <w:family w:val="roman"/>
    <w:pitch w:val="default"/>
    <w:sig w:usb0="00000000" w:usb1="00000000" w:usb2="00000008" w:usb3="00000000" w:csb0="00000041" w:csb1="00000000"/>
  </w:font>
  <w:font w:name="Courier New">
    <w:panose1 w:val="02070609020205090404"/>
    <w:charset w:val="00"/>
    <w:family w:val="modern"/>
    <w:pitch w:val="default"/>
    <w:sig w:usb0="E0000AFF" w:usb1="40007843" w:usb2="00000001" w:usb3="00000000" w:csb0="400001BF" w:csb1="DFF70000"/>
  </w:font>
  <w:font w:name="Tahoma">
    <w:panose1 w:val="020B0804030504040204"/>
    <w:charset w:val="00"/>
    <w:family w:val="swiss"/>
    <w:pitch w:val="default"/>
    <w:sig w:usb0="E1002AFF" w:usb1="C000605B" w:usb2="00000029" w:usb3="00000000" w:csb0="200101FF" w:csb1="20280000"/>
  </w:font>
  <w:font w:name="仿宋_GB2312">
    <w:altName w:val="方正仿宋_GBK"/>
    <w:panose1 w:val="00000000000000000000"/>
    <w:charset w:val="86"/>
    <w:family w:val="modern"/>
    <w:pitch w:val="default"/>
    <w:sig w:usb0="00000000" w:usb1="00000000" w:usb2="00000010" w:usb3="00000000" w:csb0="00040000" w:csb1="00000000"/>
  </w:font>
  <w:font w:name="Times New Roman Regular">
    <w:panose1 w:val="02020603050405020304"/>
    <w:charset w:val="00"/>
    <w:family w:val="auto"/>
    <w:pitch w:val="default"/>
    <w:sig w:usb0="E0002AEF" w:usb1="C0007841" w:usb2="00000009" w:usb3="00000000" w:csb0="400001FF" w:csb1="FFFF0000"/>
  </w:font>
  <w:font w:name="Arial">
    <w:panose1 w:val="020B0604020202090204"/>
    <w:charset w:val="00"/>
    <w:family w:val="swiss"/>
    <w:pitch w:val="default"/>
    <w:sig w:usb0="E0000AFF" w:usb1="0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honburi">
    <w:panose1 w:val="00000400000000000000"/>
    <w:charset w:val="00"/>
    <w:family w:val="auto"/>
    <w:pitch w:val="default"/>
    <w:sig w:usb0="01000000" w:usb1="00000000" w:usb2="00000000" w:usb3="00000000" w:csb0="20000193" w:csb1="4D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14:paraId="04385587">
      <w:tc>
        <w:tcPr>
          <w:tcW w:w="3080" w:type="dxa"/>
        </w:tcPr>
        <w:p w14:paraId="2EE6B89B">
          <w:pPr>
            <w:pStyle w:val="46"/>
          </w:pPr>
        </w:p>
      </w:tc>
      <w:tc>
        <w:tcPr>
          <w:tcW w:w="3081" w:type="dxa"/>
        </w:tcPr>
        <w:p w14:paraId="6444D31F">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2</w:t>
          </w:r>
          <w:r>
            <w:rPr>
              <w:rStyle w:val="204"/>
              <w:rFonts w:cs="Times New Roman"/>
            </w:rPr>
            <w:fldChar w:fldCharType="end"/>
          </w:r>
          <w:r>
            <w:rPr>
              <w:rStyle w:val="204"/>
              <w:rFonts w:cs="Times New Roman"/>
            </w:rPr>
            <w:t xml:space="preserve"> -</w:t>
          </w:r>
        </w:p>
      </w:tc>
      <w:tc>
        <w:tcPr>
          <w:tcW w:w="3081" w:type="dxa"/>
        </w:tcPr>
        <w:p w14:paraId="3F6441AD">
          <w:pPr>
            <w:pStyle w:val="253"/>
          </w:pPr>
        </w:p>
      </w:tc>
    </w:tr>
  </w:tbl>
  <w:p w14:paraId="0035E10E">
    <w:pPr>
      <w:pStyle w:val="4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AFCE5"/>
    <w:multiLevelType w:val="singleLevel"/>
    <w:tmpl w:val="CE6AFCE5"/>
    <w:lvl w:ilvl="0" w:tentative="0">
      <w:start w:val="3"/>
      <w:numFmt w:val="decimal"/>
      <w:suff w:val="space"/>
      <w:lvlText w:val="%1."/>
      <w:lvlJc w:val="left"/>
    </w:lvl>
  </w:abstractNum>
  <w:abstractNum w:abstractNumId="1">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2">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3">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styleLockQFSet/>
  <w:defaultTabStop w:val="720"/>
  <w:drawingGridHorizontalSpacing w:val="120"/>
  <w:noPunctuationKerning w:val="1"/>
  <w:characterSpacingControl w:val="doNotCompress"/>
  <w:doNotValidateAgainstSchema/>
  <w:doNotDemarcateInvalidXml/>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150B7"/>
    <w:rsid w:val="00021AB2"/>
    <w:rsid w:val="000326C8"/>
    <w:rsid w:val="00041C40"/>
    <w:rsid w:val="0004292A"/>
    <w:rsid w:val="000467AA"/>
    <w:rsid w:val="00047782"/>
    <w:rsid w:val="00062616"/>
    <w:rsid w:val="00073E6B"/>
    <w:rsid w:val="0007723F"/>
    <w:rsid w:val="00077D60"/>
    <w:rsid w:val="00083590"/>
    <w:rsid w:val="00092F4E"/>
    <w:rsid w:val="000B58E5"/>
    <w:rsid w:val="000B653C"/>
    <w:rsid w:val="000C6953"/>
    <w:rsid w:val="000D6D84"/>
    <w:rsid w:val="000E29A9"/>
    <w:rsid w:val="000E3A81"/>
    <w:rsid w:val="00107E19"/>
    <w:rsid w:val="00115F62"/>
    <w:rsid w:val="00123E26"/>
    <w:rsid w:val="00132C1E"/>
    <w:rsid w:val="00145B05"/>
    <w:rsid w:val="001632CB"/>
    <w:rsid w:val="001639D8"/>
    <w:rsid w:val="001729AE"/>
    <w:rsid w:val="00186A05"/>
    <w:rsid w:val="001965E2"/>
    <w:rsid w:val="001A2F31"/>
    <w:rsid w:val="001B4EA1"/>
    <w:rsid w:val="001C5840"/>
    <w:rsid w:val="001D1555"/>
    <w:rsid w:val="001D6168"/>
    <w:rsid w:val="001E0F1F"/>
    <w:rsid w:val="001F346E"/>
    <w:rsid w:val="001F35AA"/>
    <w:rsid w:val="001F367B"/>
    <w:rsid w:val="00201B27"/>
    <w:rsid w:val="00224A7C"/>
    <w:rsid w:val="002278D1"/>
    <w:rsid w:val="00231665"/>
    <w:rsid w:val="00233737"/>
    <w:rsid w:val="002403B5"/>
    <w:rsid w:val="00245281"/>
    <w:rsid w:val="00250E61"/>
    <w:rsid w:val="00261F94"/>
    <w:rsid w:val="00263C1C"/>
    <w:rsid w:val="00267941"/>
    <w:rsid w:val="00287E91"/>
    <w:rsid w:val="00291652"/>
    <w:rsid w:val="002964A1"/>
    <w:rsid w:val="002A25F2"/>
    <w:rsid w:val="002A5243"/>
    <w:rsid w:val="002A7C26"/>
    <w:rsid w:val="002B14B6"/>
    <w:rsid w:val="002C7FBB"/>
    <w:rsid w:val="002D3701"/>
    <w:rsid w:val="002E7C66"/>
    <w:rsid w:val="002F09A7"/>
    <w:rsid w:val="002F5271"/>
    <w:rsid w:val="00306B88"/>
    <w:rsid w:val="00310488"/>
    <w:rsid w:val="00311263"/>
    <w:rsid w:val="0034107F"/>
    <w:rsid w:val="00344340"/>
    <w:rsid w:val="00344D27"/>
    <w:rsid w:val="0035604C"/>
    <w:rsid w:val="00371332"/>
    <w:rsid w:val="00376A05"/>
    <w:rsid w:val="003850D4"/>
    <w:rsid w:val="00385786"/>
    <w:rsid w:val="00385F00"/>
    <w:rsid w:val="003866EF"/>
    <w:rsid w:val="00396466"/>
    <w:rsid w:val="003A4565"/>
    <w:rsid w:val="003B27EC"/>
    <w:rsid w:val="003B2F86"/>
    <w:rsid w:val="003B4439"/>
    <w:rsid w:val="003B4C9E"/>
    <w:rsid w:val="003B7CBC"/>
    <w:rsid w:val="003C335C"/>
    <w:rsid w:val="003C3456"/>
    <w:rsid w:val="003E3B57"/>
    <w:rsid w:val="003E4895"/>
    <w:rsid w:val="003E69E8"/>
    <w:rsid w:val="003E73DB"/>
    <w:rsid w:val="00410914"/>
    <w:rsid w:val="004119F5"/>
    <w:rsid w:val="00416471"/>
    <w:rsid w:val="004166B2"/>
    <w:rsid w:val="004203EF"/>
    <w:rsid w:val="00427E52"/>
    <w:rsid w:val="00446353"/>
    <w:rsid w:val="0044739B"/>
    <w:rsid w:val="00467A6B"/>
    <w:rsid w:val="004766A1"/>
    <w:rsid w:val="0049707A"/>
    <w:rsid w:val="004973DB"/>
    <w:rsid w:val="0049771A"/>
    <w:rsid w:val="004A4BF1"/>
    <w:rsid w:val="004C3420"/>
    <w:rsid w:val="004D018B"/>
    <w:rsid w:val="004D124C"/>
    <w:rsid w:val="004D4435"/>
    <w:rsid w:val="004E7026"/>
    <w:rsid w:val="00501E50"/>
    <w:rsid w:val="005060BD"/>
    <w:rsid w:val="00512A53"/>
    <w:rsid w:val="00523905"/>
    <w:rsid w:val="005251B9"/>
    <w:rsid w:val="00525BC8"/>
    <w:rsid w:val="00530BB4"/>
    <w:rsid w:val="00545A47"/>
    <w:rsid w:val="005600FE"/>
    <w:rsid w:val="0057200D"/>
    <w:rsid w:val="0057228E"/>
    <w:rsid w:val="00591CEC"/>
    <w:rsid w:val="005B0CEB"/>
    <w:rsid w:val="005B18A3"/>
    <w:rsid w:val="005B492E"/>
    <w:rsid w:val="005D277C"/>
    <w:rsid w:val="005D6D17"/>
    <w:rsid w:val="005E7B2F"/>
    <w:rsid w:val="005F5280"/>
    <w:rsid w:val="005F7223"/>
    <w:rsid w:val="0060413B"/>
    <w:rsid w:val="00605EE6"/>
    <w:rsid w:val="0060669E"/>
    <w:rsid w:val="006129D3"/>
    <w:rsid w:val="00614EBB"/>
    <w:rsid w:val="0061583E"/>
    <w:rsid w:val="00617BCA"/>
    <w:rsid w:val="006221A7"/>
    <w:rsid w:val="00632159"/>
    <w:rsid w:val="00645B6A"/>
    <w:rsid w:val="00654396"/>
    <w:rsid w:val="00655225"/>
    <w:rsid w:val="00664174"/>
    <w:rsid w:val="006643EA"/>
    <w:rsid w:val="00673095"/>
    <w:rsid w:val="0067348D"/>
    <w:rsid w:val="006745A9"/>
    <w:rsid w:val="00682729"/>
    <w:rsid w:val="006B4541"/>
    <w:rsid w:val="006C3CFB"/>
    <w:rsid w:val="006C62FC"/>
    <w:rsid w:val="006D1E2B"/>
    <w:rsid w:val="006D6A64"/>
    <w:rsid w:val="006E0D98"/>
    <w:rsid w:val="006E3180"/>
    <w:rsid w:val="006E6E26"/>
    <w:rsid w:val="006E70AA"/>
    <w:rsid w:val="006F1F2E"/>
    <w:rsid w:val="006F7A98"/>
    <w:rsid w:val="007029CB"/>
    <w:rsid w:val="00705778"/>
    <w:rsid w:val="00705A94"/>
    <w:rsid w:val="0071373B"/>
    <w:rsid w:val="00720F7B"/>
    <w:rsid w:val="00726B19"/>
    <w:rsid w:val="00727BD0"/>
    <w:rsid w:val="00731ABF"/>
    <w:rsid w:val="007373F0"/>
    <w:rsid w:val="00742AFE"/>
    <w:rsid w:val="00742EDF"/>
    <w:rsid w:val="00751420"/>
    <w:rsid w:val="007674D7"/>
    <w:rsid w:val="00772298"/>
    <w:rsid w:val="00794062"/>
    <w:rsid w:val="00797584"/>
    <w:rsid w:val="007A2D94"/>
    <w:rsid w:val="007B651A"/>
    <w:rsid w:val="007B6ED8"/>
    <w:rsid w:val="007B75E4"/>
    <w:rsid w:val="007E2608"/>
    <w:rsid w:val="007F1726"/>
    <w:rsid w:val="0080200E"/>
    <w:rsid w:val="00803A33"/>
    <w:rsid w:val="008051ED"/>
    <w:rsid w:val="00811437"/>
    <w:rsid w:val="00811775"/>
    <w:rsid w:val="008248B2"/>
    <w:rsid w:val="00827D6D"/>
    <w:rsid w:val="00834D88"/>
    <w:rsid w:val="0083548A"/>
    <w:rsid w:val="00864085"/>
    <w:rsid w:val="008675DF"/>
    <w:rsid w:val="008803D0"/>
    <w:rsid w:val="00880F24"/>
    <w:rsid w:val="008836AF"/>
    <w:rsid w:val="00885C9B"/>
    <w:rsid w:val="00893879"/>
    <w:rsid w:val="008B2172"/>
    <w:rsid w:val="008C4868"/>
    <w:rsid w:val="008D4ED8"/>
    <w:rsid w:val="008D644E"/>
    <w:rsid w:val="008D7816"/>
    <w:rsid w:val="008E09C9"/>
    <w:rsid w:val="008E5BCA"/>
    <w:rsid w:val="009022B0"/>
    <w:rsid w:val="00905F4A"/>
    <w:rsid w:val="009145E4"/>
    <w:rsid w:val="009301D9"/>
    <w:rsid w:val="0094346F"/>
    <w:rsid w:val="00953187"/>
    <w:rsid w:val="009551E9"/>
    <w:rsid w:val="0096333E"/>
    <w:rsid w:val="009668EC"/>
    <w:rsid w:val="009731D6"/>
    <w:rsid w:val="00977C3B"/>
    <w:rsid w:val="009901B5"/>
    <w:rsid w:val="009A0BCC"/>
    <w:rsid w:val="009A19EE"/>
    <w:rsid w:val="009A2EFA"/>
    <w:rsid w:val="009A57C5"/>
    <w:rsid w:val="009A6CD4"/>
    <w:rsid w:val="009A6E66"/>
    <w:rsid w:val="009B0211"/>
    <w:rsid w:val="009C16F8"/>
    <w:rsid w:val="009C1DE7"/>
    <w:rsid w:val="009C5625"/>
    <w:rsid w:val="009C5962"/>
    <w:rsid w:val="009D0999"/>
    <w:rsid w:val="009E2FF5"/>
    <w:rsid w:val="009F025F"/>
    <w:rsid w:val="009F0698"/>
    <w:rsid w:val="009F36C1"/>
    <w:rsid w:val="00A05705"/>
    <w:rsid w:val="00A16F03"/>
    <w:rsid w:val="00A21136"/>
    <w:rsid w:val="00A3323A"/>
    <w:rsid w:val="00A3697C"/>
    <w:rsid w:val="00A46C66"/>
    <w:rsid w:val="00A46FAF"/>
    <w:rsid w:val="00A5674A"/>
    <w:rsid w:val="00A623EF"/>
    <w:rsid w:val="00A64F91"/>
    <w:rsid w:val="00A7438D"/>
    <w:rsid w:val="00A74797"/>
    <w:rsid w:val="00A7601D"/>
    <w:rsid w:val="00A80230"/>
    <w:rsid w:val="00A81984"/>
    <w:rsid w:val="00AA0F23"/>
    <w:rsid w:val="00AA3E2F"/>
    <w:rsid w:val="00AA46CA"/>
    <w:rsid w:val="00AA535B"/>
    <w:rsid w:val="00AB409D"/>
    <w:rsid w:val="00AC3273"/>
    <w:rsid w:val="00AC6292"/>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61BB8"/>
    <w:rsid w:val="00B66D4B"/>
    <w:rsid w:val="00B77D90"/>
    <w:rsid w:val="00B80B9E"/>
    <w:rsid w:val="00B838DA"/>
    <w:rsid w:val="00B86E3A"/>
    <w:rsid w:val="00B93FA3"/>
    <w:rsid w:val="00BA017F"/>
    <w:rsid w:val="00BA23FD"/>
    <w:rsid w:val="00BC357F"/>
    <w:rsid w:val="00BD535F"/>
    <w:rsid w:val="00BE6E64"/>
    <w:rsid w:val="00BF31B7"/>
    <w:rsid w:val="00BF4F99"/>
    <w:rsid w:val="00C10048"/>
    <w:rsid w:val="00C30E9B"/>
    <w:rsid w:val="00C424FC"/>
    <w:rsid w:val="00C51ECC"/>
    <w:rsid w:val="00C600D9"/>
    <w:rsid w:val="00C67ADA"/>
    <w:rsid w:val="00C810E8"/>
    <w:rsid w:val="00C82C84"/>
    <w:rsid w:val="00C847C2"/>
    <w:rsid w:val="00CA6613"/>
    <w:rsid w:val="00CC39FE"/>
    <w:rsid w:val="00CC69AD"/>
    <w:rsid w:val="00CD72A9"/>
    <w:rsid w:val="00CF1664"/>
    <w:rsid w:val="00CF5A8A"/>
    <w:rsid w:val="00D01278"/>
    <w:rsid w:val="00D03E9E"/>
    <w:rsid w:val="00D12AB1"/>
    <w:rsid w:val="00D23B36"/>
    <w:rsid w:val="00D24BF2"/>
    <w:rsid w:val="00D27AEB"/>
    <w:rsid w:val="00D53BAE"/>
    <w:rsid w:val="00D57DBA"/>
    <w:rsid w:val="00D57EBC"/>
    <w:rsid w:val="00D71F76"/>
    <w:rsid w:val="00D72DB7"/>
    <w:rsid w:val="00D77095"/>
    <w:rsid w:val="00D77535"/>
    <w:rsid w:val="00D80573"/>
    <w:rsid w:val="00D94BB1"/>
    <w:rsid w:val="00D961C9"/>
    <w:rsid w:val="00D97B80"/>
    <w:rsid w:val="00DA1D73"/>
    <w:rsid w:val="00DB2761"/>
    <w:rsid w:val="00DB2FF6"/>
    <w:rsid w:val="00DC225B"/>
    <w:rsid w:val="00DD0E0C"/>
    <w:rsid w:val="00DD7765"/>
    <w:rsid w:val="00DE522D"/>
    <w:rsid w:val="00E23955"/>
    <w:rsid w:val="00E417DF"/>
    <w:rsid w:val="00E47327"/>
    <w:rsid w:val="00E7385D"/>
    <w:rsid w:val="00E85B08"/>
    <w:rsid w:val="00E86579"/>
    <w:rsid w:val="00E87AFC"/>
    <w:rsid w:val="00E90A19"/>
    <w:rsid w:val="00E958B5"/>
    <w:rsid w:val="00E974F8"/>
    <w:rsid w:val="00EA79DA"/>
    <w:rsid w:val="00EB2691"/>
    <w:rsid w:val="00EC3743"/>
    <w:rsid w:val="00EC5825"/>
    <w:rsid w:val="00EC5BD8"/>
    <w:rsid w:val="00EC636E"/>
    <w:rsid w:val="00EC7E55"/>
    <w:rsid w:val="00ED6F93"/>
    <w:rsid w:val="00EE3052"/>
    <w:rsid w:val="00EE7CB8"/>
    <w:rsid w:val="00EF16FB"/>
    <w:rsid w:val="00F02216"/>
    <w:rsid w:val="00F0291C"/>
    <w:rsid w:val="00F101DD"/>
    <w:rsid w:val="00F14193"/>
    <w:rsid w:val="00F14D59"/>
    <w:rsid w:val="00F20CCE"/>
    <w:rsid w:val="00F25C43"/>
    <w:rsid w:val="00F3614E"/>
    <w:rsid w:val="00F56870"/>
    <w:rsid w:val="00F576E0"/>
    <w:rsid w:val="00F60A1B"/>
    <w:rsid w:val="00F6440C"/>
    <w:rsid w:val="00F70FB7"/>
    <w:rsid w:val="00F77762"/>
    <w:rsid w:val="00F901CF"/>
    <w:rsid w:val="00F906EF"/>
    <w:rsid w:val="00FA11BE"/>
    <w:rsid w:val="00FB0B9A"/>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5942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5FF7111"/>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74BAD"/>
    <w:rsid w:val="6DDFCDD2"/>
    <w:rsid w:val="6DEE4FF5"/>
    <w:rsid w:val="6DEF4880"/>
    <w:rsid w:val="6DF70056"/>
    <w:rsid w:val="6DF9F477"/>
    <w:rsid w:val="6E577EF1"/>
    <w:rsid w:val="6E682F26"/>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5904BE"/>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8D6F549"/>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7C76F0"/>
    <w:rsid w:val="BDBB3948"/>
    <w:rsid w:val="BDBEF976"/>
    <w:rsid w:val="BDDC60A3"/>
    <w:rsid w:val="BDDDB18C"/>
    <w:rsid w:val="BDF3C4BC"/>
    <w:rsid w:val="BDF73C92"/>
    <w:rsid w:val="BDF765F6"/>
    <w:rsid w:val="BDF7F28A"/>
    <w:rsid w:val="BDFCD2A1"/>
    <w:rsid w:val="BDFDB891"/>
    <w:rsid w:val="BE8F61FF"/>
    <w:rsid w:val="BEA76C33"/>
    <w:rsid w:val="BEBCC0C0"/>
    <w:rsid w:val="BEBE6B4E"/>
    <w:rsid w:val="BEBFD9E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7FEC06"/>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BFFB198"/>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BFC08"/>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Macro Text Char"/>
    <w:link w:val="2"/>
    <w:qFormat/>
    <w:uiPriority w:val="0"/>
    <w:rPr>
      <w:rFonts w:ascii="Courier New" w:hAnsi="Courier New" w:cs="Courier New"/>
      <w:lang w:val="en-GB" w:eastAsia="zh-CN" w:bidi="ar-AE"/>
    </w:rPr>
  </w:style>
  <w:style w:type="character" w:customStyle="1" w:styleId="211">
    <w:name w:val="Heading 1 Char"/>
    <w:link w:val="3"/>
    <w:qFormat/>
    <w:uiPriority w:val="0"/>
    <w:rPr>
      <w:sz w:val="24"/>
      <w:szCs w:val="24"/>
      <w:lang w:bidi="ar-AE"/>
    </w:rPr>
  </w:style>
  <w:style w:type="character" w:customStyle="1" w:styleId="212">
    <w:name w:val="Heading 2 Char"/>
    <w:link w:val="4"/>
    <w:qFormat/>
    <w:uiPriority w:val="0"/>
    <w:rPr>
      <w:sz w:val="24"/>
      <w:szCs w:val="24"/>
      <w:lang w:bidi="ar-AE"/>
    </w:rPr>
  </w:style>
  <w:style w:type="character" w:customStyle="1" w:styleId="213">
    <w:name w:val="Body Text Char"/>
    <w:link w:val="5"/>
    <w:qFormat/>
    <w:uiPriority w:val="0"/>
    <w:rPr>
      <w:sz w:val="24"/>
      <w:szCs w:val="24"/>
      <w:lang w:eastAsia="en-GB" w:bidi="ar-AE"/>
    </w:rPr>
  </w:style>
  <w:style w:type="character" w:customStyle="1" w:styleId="214">
    <w:name w:val="Heading 3 Char"/>
    <w:link w:val="6"/>
    <w:qFormat/>
    <w:uiPriority w:val="0"/>
    <w:rPr>
      <w:sz w:val="24"/>
      <w:szCs w:val="24"/>
      <w:lang w:bidi="ar-AE"/>
    </w:rPr>
  </w:style>
  <w:style w:type="character" w:customStyle="1" w:styleId="215">
    <w:name w:val="Heading 4 Char"/>
    <w:link w:val="7"/>
    <w:qFormat/>
    <w:uiPriority w:val="0"/>
    <w:rPr>
      <w:sz w:val="24"/>
      <w:szCs w:val="24"/>
      <w:lang w:bidi="ar-AE"/>
    </w:rPr>
  </w:style>
  <w:style w:type="character" w:customStyle="1" w:styleId="216">
    <w:name w:val="Heading 5 Char"/>
    <w:link w:val="8"/>
    <w:qFormat/>
    <w:uiPriority w:val="0"/>
    <w:rPr>
      <w:sz w:val="24"/>
      <w:szCs w:val="24"/>
      <w:lang w:bidi="ar-AE"/>
    </w:rPr>
  </w:style>
  <w:style w:type="character" w:customStyle="1" w:styleId="217">
    <w:name w:val="Heading 6 Char"/>
    <w:link w:val="9"/>
    <w:qFormat/>
    <w:uiPriority w:val="0"/>
    <w:rPr>
      <w:sz w:val="24"/>
      <w:szCs w:val="24"/>
      <w:lang w:bidi="ar-AE"/>
    </w:rPr>
  </w:style>
  <w:style w:type="character" w:customStyle="1" w:styleId="218">
    <w:name w:val="Heading 7 Char"/>
    <w:link w:val="10"/>
    <w:qFormat/>
    <w:uiPriority w:val="0"/>
    <w:rPr>
      <w:sz w:val="24"/>
      <w:szCs w:val="24"/>
      <w:lang w:bidi="ar-AE"/>
    </w:rPr>
  </w:style>
  <w:style w:type="character" w:customStyle="1" w:styleId="219">
    <w:name w:val="Heading 8 Char"/>
    <w:link w:val="11"/>
    <w:qFormat/>
    <w:uiPriority w:val="0"/>
    <w:rPr>
      <w:sz w:val="24"/>
      <w:szCs w:val="24"/>
      <w:lang w:bidi="ar-AE"/>
    </w:rPr>
  </w:style>
  <w:style w:type="character" w:customStyle="1" w:styleId="220">
    <w:name w:val="Heading 9 Char"/>
    <w:link w:val="12"/>
    <w:qFormat/>
    <w:uiPriority w:val="0"/>
    <w:rPr>
      <w:sz w:val="24"/>
      <w:szCs w:val="24"/>
      <w:lang w:bidi="ar-AE"/>
    </w:rPr>
  </w:style>
  <w:style w:type="character" w:customStyle="1" w:styleId="221">
    <w:name w:val="Note Heading Char"/>
    <w:link w:val="16"/>
    <w:qFormat/>
    <w:uiPriority w:val="0"/>
    <w:rPr>
      <w:sz w:val="24"/>
      <w:szCs w:val="24"/>
      <w:lang w:bidi="ar-AE"/>
    </w:rPr>
  </w:style>
  <w:style w:type="character" w:customStyle="1" w:styleId="222">
    <w:name w:val="E-mail Signature Char"/>
    <w:link w:val="18"/>
    <w:qFormat/>
    <w:uiPriority w:val="0"/>
    <w:rPr>
      <w:sz w:val="24"/>
      <w:szCs w:val="24"/>
      <w:lang w:bidi="ar-AE"/>
    </w:rPr>
  </w:style>
  <w:style w:type="character" w:customStyle="1" w:styleId="223">
    <w:name w:val="Document Map Char"/>
    <w:link w:val="23"/>
    <w:qFormat/>
    <w:uiPriority w:val="0"/>
    <w:rPr>
      <w:rFonts w:ascii="Tahoma" w:hAnsi="Tahoma" w:cs="Tahoma"/>
      <w:sz w:val="16"/>
      <w:szCs w:val="16"/>
      <w:lang w:bidi="ar-AE"/>
    </w:rPr>
  </w:style>
  <w:style w:type="character" w:customStyle="1" w:styleId="224">
    <w:name w:val="Comment Text Char"/>
    <w:link w:val="25"/>
    <w:qFormat/>
    <w:uiPriority w:val="0"/>
    <w:rPr>
      <w:lang w:bidi="ar-AE"/>
    </w:rPr>
  </w:style>
  <w:style w:type="character" w:customStyle="1" w:styleId="225">
    <w:name w:val="Salutation Char"/>
    <w:link w:val="27"/>
    <w:qFormat/>
    <w:uiPriority w:val="0"/>
    <w:rPr>
      <w:sz w:val="24"/>
      <w:szCs w:val="24"/>
      <w:lang w:bidi="ar-AE"/>
    </w:rPr>
  </w:style>
  <w:style w:type="character" w:customStyle="1" w:styleId="226">
    <w:name w:val="Body Text 3 Char"/>
    <w:link w:val="28"/>
    <w:qFormat/>
    <w:uiPriority w:val="0"/>
    <w:rPr>
      <w:sz w:val="24"/>
      <w:szCs w:val="24"/>
      <w:lang w:eastAsia="en-GB" w:bidi="ar-AE"/>
    </w:rPr>
  </w:style>
  <w:style w:type="character" w:customStyle="1" w:styleId="227">
    <w:name w:val="Closing Char"/>
    <w:link w:val="29"/>
    <w:qFormat/>
    <w:uiPriority w:val="0"/>
    <w:rPr>
      <w:sz w:val="24"/>
      <w:szCs w:val="24"/>
      <w:lang w:bidi="ar-AE"/>
    </w:rPr>
  </w:style>
  <w:style w:type="character" w:customStyle="1" w:styleId="228">
    <w:name w:val="Body Text Indent Char"/>
    <w:link w:val="30"/>
    <w:qFormat/>
    <w:uiPriority w:val="0"/>
    <w:rPr>
      <w:sz w:val="24"/>
      <w:szCs w:val="24"/>
      <w:lang w:bidi="ar-AE"/>
    </w:rPr>
  </w:style>
  <w:style w:type="character" w:customStyle="1" w:styleId="229">
    <w:name w:val="HTML Address Char"/>
    <w:link w:val="34"/>
    <w:qFormat/>
    <w:uiPriority w:val="0"/>
    <w:rPr>
      <w:i/>
      <w:iCs/>
      <w:sz w:val="24"/>
      <w:szCs w:val="24"/>
      <w:lang w:bidi="ar-AE"/>
    </w:rPr>
  </w:style>
  <w:style w:type="character" w:customStyle="1" w:styleId="230">
    <w:name w:val="Plain Text Char"/>
    <w:link w:val="38"/>
    <w:qFormat/>
    <w:uiPriority w:val="0"/>
    <w:rPr>
      <w:rFonts w:ascii="Courier New" w:hAnsi="Courier New" w:cs="Courier New"/>
      <w:lang w:bidi="ar-AE"/>
    </w:rPr>
  </w:style>
  <w:style w:type="character" w:customStyle="1" w:styleId="231">
    <w:name w:val="Date Char"/>
    <w:link w:val="41"/>
    <w:qFormat/>
    <w:uiPriority w:val="0"/>
    <w:rPr>
      <w:sz w:val="24"/>
      <w:szCs w:val="24"/>
      <w:lang w:bidi="ar-AE"/>
    </w:rPr>
  </w:style>
  <w:style w:type="character" w:customStyle="1" w:styleId="232">
    <w:name w:val="Body Text Indent 2 Char"/>
    <w:link w:val="42"/>
    <w:qFormat/>
    <w:uiPriority w:val="0"/>
    <w:rPr>
      <w:sz w:val="24"/>
      <w:szCs w:val="24"/>
      <w:lang w:bidi="ar-AE"/>
    </w:rPr>
  </w:style>
  <w:style w:type="character" w:customStyle="1" w:styleId="233">
    <w:name w:val="Endnote Text Char"/>
    <w:link w:val="43"/>
    <w:qFormat/>
    <w:uiPriority w:val="0"/>
    <w:rPr>
      <w:lang w:bidi="ar-AE"/>
    </w:rPr>
  </w:style>
  <w:style w:type="character" w:customStyle="1" w:styleId="234">
    <w:name w:val="Balloon Text Char"/>
    <w:link w:val="45"/>
    <w:qFormat/>
    <w:uiPriority w:val="0"/>
    <w:rPr>
      <w:rFonts w:ascii="Tahoma" w:hAnsi="Tahoma" w:cs="Tahoma"/>
      <w:sz w:val="16"/>
      <w:szCs w:val="16"/>
      <w:lang w:bidi="ar-AE"/>
    </w:rPr>
  </w:style>
  <w:style w:type="character" w:customStyle="1" w:styleId="235">
    <w:name w:val="Footer Char"/>
    <w:link w:val="46"/>
    <w:qFormat/>
    <w:uiPriority w:val="0"/>
    <w:rPr>
      <w:sz w:val="16"/>
      <w:szCs w:val="16"/>
      <w:lang w:val="en-GB" w:eastAsia="zh-CN" w:bidi="he-IL"/>
    </w:rPr>
  </w:style>
  <w:style w:type="character" w:customStyle="1" w:styleId="236">
    <w:name w:val="Header Char"/>
    <w:link w:val="48"/>
    <w:qFormat/>
    <w:uiPriority w:val="99"/>
    <w:rPr>
      <w:sz w:val="24"/>
      <w:szCs w:val="24"/>
      <w:lang w:val="en-GB" w:eastAsia="zh-CN" w:bidi="he-IL"/>
    </w:rPr>
  </w:style>
  <w:style w:type="character" w:customStyle="1" w:styleId="237">
    <w:name w:val="Signature Char"/>
    <w:link w:val="49"/>
    <w:qFormat/>
    <w:uiPriority w:val="0"/>
    <w:rPr>
      <w:sz w:val="24"/>
      <w:szCs w:val="24"/>
      <w:lang w:bidi="ar-AE"/>
    </w:rPr>
  </w:style>
  <w:style w:type="character" w:customStyle="1" w:styleId="238">
    <w:name w:val="Subtitle Char"/>
    <w:link w:val="54"/>
    <w:qFormat/>
    <w:uiPriority w:val="0"/>
    <w:rPr>
      <w:sz w:val="24"/>
      <w:szCs w:val="24"/>
      <w:lang w:bidi="ar-AE"/>
    </w:rPr>
  </w:style>
  <w:style w:type="character" w:customStyle="1" w:styleId="239">
    <w:name w:val="Footnote Text Char"/>
    <w:link w:val="56"/>
    <w:qFormat/>
    <w:uiPriority w:val="0"/>
    <w:rPr>
      <w:lang w:bidi="ar-AE"/>
    </w:rPr>
  </w:style>
  <w:style w:type="character" w:customStyle="1" w:styleId="240">
    <w:name w:val="Body Text Indent 3 Char"/>
    <w:link w:val="59"/>
    <w:qFormat/>
    <w:uiPriority w:val="0"/>
    <w:rPr>
      <w:sz w:val="16"/>
      <w:szCs w:val="16"/>
      <w:lang w:bidi="ar-AE"/>
    </w:rPr>
  </w:style>
  <w:style w:type="character" w:customStyle="1" w:styleId="241">
    <w:name w:val="Body Text 2 Char"/>
    <w:link w:val="65"/>
    <w:qFormat/>
    <w:uiPriority w:val="0"/>
    <w:rPr>
      <w:sz w:val="24"/>
      <w:szCs w:val="24"/>
      <w:lang w:eastAsia="en-GB" w:bidi="ar-AE"/>
    </w:rPr>
  </w:style>
  <w:style w:type="character" w:customStyle="1" w:styleId="242">
    <w:name w:val="Message Header Char"/>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Preformatted Char"/>
    <w:link w:val="69"/>
    <w:qFormat/>
    <w:uiPriority w:val="0"/>
    <w:rPr>
      <w:rFonts w:ascii="Courier New" w:hAnsi="Courier New" w:cs="Courier New"/>
      <w:lang w:bidi="ar-AE"/>
    </w:rPr>
  </w:style>
  <w:style w:type="character" w:customStyle="1" w:styleId="244">
    <w:name w:val="Title Char"/>
    <w:link w:val="74"/>
    <w:qFormat/>
    <w:uiPriority w:val="0"/>
    <w:rPr>
      <w:b/>
      <w:bCs/>
      <w:sz w:val="24"/>
      <w:szCs w:val="24"/>
      <w:lang w:bidi="ar-AE"/>
    </w:rPr>
  </w:style>
  <w:style w:type="character" w:customStyle="1" w:styleId="245">
    <w:name w:val="Comment Subject Char"/>
    <w:link w:val="75"/>
    <w:qFormat/>
    <w:uiPriority w:val="0"/>
    <w:rPr>
      <w:b/>
      <w:bCs/>
      <w:lang w:bidi="ar-AE"/>
    </w:rPr>
  </w:style>
  <w:style w:type="character" w:customStyle="1" w:styleId="246">
    <w:name w:val="Body Text First Indent Char"/>
    <w:link w:val="76"/>
    <w:qFormat/>
    <w:uiPriority w:val="0"/>
    <w:rPr>
      <w:sz w:val="24"/>
      <w:szCs w:val="24"/>
      <w:lang w:eastAsia="en-GB" w:bidi="ar-AE"/>
    </w:rPr>
  </w:style>
  <w:style w:type="character" w:customStyle="1" w:styleId="247">
    <w:name w:val="Body Text First Indent 2 Char"/>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标题1"/>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书目1"/>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Intense Quote Char"/>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Quote Char"/>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 w:type="paragraph" w:customStyle="1" w:styleId="331">
    <w:name w:val="修订1"/>
    <w:hidden/>
    <w:unhideWhenUsed/>
    <w:qFormat/>
    <w:uiPriority w:val="99"/>
    <w:rPr>
      <w:rFonts w:ascii="Times New Roman" w:hAnsi="Times New Roman" w:eastAsia="宋体" w:cs="Times New Roman"/>
      <w:sz w:val="24"/>
      <w:szCs w:val="24"/>
      <w:lang w:val="en-GB" w:eastAsia="zh-CN" w:bidi="ar-AE"/>
    </w:rPr>
  </w:style>
  <w:style w:type="paragraph" w:customStyle="1" w:styleId="332">
    <w:name w:val="Revision1"/>
    <w:hidden/>
    <w:unhideWhenUsed/>
    <w:qFormat/>
    <w:uiPriority w:val="99"/>
    <w:rPr>
      <w:rFonts w:ascii="Times New Roman" w:hAnsi="Times New Roman" w:eastAsia="宋体" w:cs="Times New Roman"/>
      <w:sz w:val="24"/>
      <w:szCs w:val="24"/>
      <w:lang w:val="en-GB" w:eastAsia="zh-CN" w:bidi="ar-AE"/>
    </w:rPr>
  </w:style>
  <w:style w:type="paragraph" w:customStyle="1" w:styleId="333">
    <w:name w:val="Revision"/>
    <w:hidden/>
    <w:unhideWhenUsed/>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Office_6.13.2.8918_F1E327BC-269C-435d-A152-05C5408002CA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Sunland</cp:lastModifiedBy>
  <dcterms:modified xsi:type="dcterms:W3CDTF">2024-12-02T15:25:52Z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D186A3BA5328736D00614D67B72C5986_42</vt:lpwstr>
  </property>
</Properties>
</file>