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F949C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  <w:t>经营者集中简易案件公示表</w:t>
      </w:r>
    </w:p>
    <w:tbl>
      <w:tblPr>
        <w:tblStyle w:val="3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29674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4F39213D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197FE54B">
            <w:pPr>
              <w:widowControl/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>南方电网综合能源（广东）有限公司与科学城（广州）环保产业投资集团有限公司新设合营企业案</w:t>
            </w:r>
          </w:p>
        </w:tc>
      </w:tr>
      <w:tr w14:paraId="4ACED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23A8E3D5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6BFBCBA6">
            <w:pPr>
              <w:widowControl/>
              <w:adjustRightInd w:val="0"/>
              <w:snapToGrid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方电网综合能源（广东）有限公司（“南网能源广东公司”）与科学城（广州）环保产业投资集团有限公司（“环保投资集团”）签署协议，共同出资设立合营企业，主要从事建筑节能服务、工业节能服务业务。</w:t>
            </w:r>
          </w:p>
          <w:p w14:paraId="0EE7EBB8">
            <w:pPr>
              <w:widowControl/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交易后，南网能源广东公司、环保投资集团将分别持有合营企业65%、35%的股权，双方共同控制合营企业。</w:t>
            </w:r>
          </w:p>
        </w:tc>
      </w:tr>
      <w:tr w14:paraId="0210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A930CD4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75AC1F86">
            <w:pPr>
              <w:pStyle w:val="2"/>
              <w:widowControl/>
              <w:adjustRightInd w:val="0"/>
              <w:snapToGrid w:val="0"/>
              <w:spacing w:after="0"/>
              <w:rPr>
                <w:rFonts w:hint="eastAsia" w:eastAsia="宋体"/>
                <w:bCs/>
                <w:color w:val="000000"/>
                <w:sz w:val="24"/>
                <w:lang w:eastAsia="zh-CN"/>
              </w:rPr>
            </w:pPr>
            <w:r>
              <w:rPr>
                <w:bCs/>
                <w:color w:val="000000"/>
                <w:sz w:val="24"/>
              </w:rPr>
              <w:t>1.</w:t>
            </w:r>
            <w:r>
              <w:rPr>
                <w:rFonts w:hint="eastAsia"/>
                <w:bCs/>
                <w:color w:val="000000"/>
                <w:sz w:val="24"/>
                <w:lang w:eastAsia="zh-CN"/>
              </w:rPr>
              <w:t>南网能源广东公司</w:t>
            </w:r>
          </w:p>
        </w:tc>
        <w:tc>
          <w:tcPr>
            <w:tcW w:w="6224" w:type="dxa"/>
            <w:vAlign w:val="center"/>
          </w:tcPr>
          <w:p w14:paraId="12DB135A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南网能源广东公司于2013年5月29日成立于广东省珠海市，主要从事建筑节能服务、工业节能服务业务。</w:t>
            </w:r>
          </w:p>
          <w:p w14:paraId="0F1424E8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>南网能源广东公司最终控制人为中国南方电网有限责任公司</w:t>
            </w:r>
            <w:r>
              <w:rPr>
                <w:rFonts w:hint="eastAsia"/>
                <w:sz w:val="24"/>
                <w:shd w:val="clear"/>
              </w:rPr>
              <w:t>，</w:t>
            </w:r>
            <w:r>
              <w:rPr>
                <w:rFonts w:hint="eastAsia"/>
                <w:sz w:val="24"/>
              </w:rPr>
              <w:t>主要从事广东、广西、云南、贵州、海南南方五省区电力供应、区域电网管理、电力交易与调度业务。</w:t>
            </w:r>
          </w:p>
        </w:tc>
      </w:tr>
      <w:tr w14:paraId="1C29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7F4CB77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72875D25">
            <w:pPr>
              <w:pStyle w:val="2"/>
              <w:widowControl/>
              <w:adjustRightInd w:val="0"/>
              <w:snapToGrid w:val="0"/>
              <w:spacing w:after="0"/>
              <w:rPr>
                <w:rFonts w:hint="eastAsia" w:eastAsia="宋体"/>
                <w:bCs/>
                <w:color w:val="000000"/>
                <w:sz w:val="24"/>
                <w:lang w:eastAsia="zh-CN"/>
              </w:rPr>
            </w:pPr>
            <w:r>
              <w:rPr>
                <w:bCs/>
                <w:color w:val="000000"/>
                <w:sz w:val="24"/>
              </w:rPr>
              <w:t>2.</w:t>
            </w:r>
            <w:r>
              <w:rPr>
                <w:rFonts w:hint="eastAsia"/>
                <w:bCs/>
                <w:color w:val="000000"/>
                <w:sz w:val="24"/>
                <w:lang w:eastAsia="zh-CN"/>
              </w:rPr>
              <w:t>环保投资集团</w:t>
            </w:r>
          </w:p>
        </w:tc>
        <w:tc>
          <w:tcPr>
            <w:tcW w:w="6224" w:type="dxa"/>
            <w:vAlign w:val="center"/>
          </w:tcPr>
          <w:p w14:paraId="1177932B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环保投资集团于2019年6月6日成立于广东省广州市，主要业务为环保工程施工、生态保护工程施工、环保咨询、土壤污染治理与修复服务。</w:t>
            </w:r>
          </w:p>
          <w:p w14:paraId="67827CCD">
            <w:pPr>
              <w:pStyle w:val="2"/>
              <w:widowControl/>
              <w:adjustRightInd w:val="0"/>
              <w:snapToGrid w:val="0"/>
              <w:spacing w:after="0"/>
              <w:rPr>
                <w:sz w:val="24"/>
              </w:rPr>
            </w:pPr>
            <w:r>
              <w:rPr>
                <w:rFonts w:hint="eastAsia"/>
                <w:sz w:val="24"/>
              </w:rPr>
              <w:t>环保投资集团最终控制人为科学城（广州）投资集团有限公司，主要业务为铜制品生产销售、</w:t>
            </w:r>
            <w:r>
              <w:rPr>
                <w:rFonts w:hint="eastAsia"/>
                <w:sz w:val="24"/>
                <w:shd w:val="clear"/>
                <w:lang w:eastAsia="zh-CN"/>
              </w:rPr>
              <w:t>市政公用</w:t>
            </w:r>
            <w:r>
              <w:rPr>
                <w:rFonts w:hint="eastAsia"/>
                <w:sz w:val="24"/>
                <w:shd w:val="clear"/>
              </w:rPr>
              <w:t>工程承包、</w:t>
            </w:r>
            <w:r>
              <w:rPr>
                <w:rFonts w:hint="eastAsia"/>
                <w:sz w:val="24"/>
                <w:shd w:val="clear"/>
                <w:lang w:eastAsia="zh-CN"/>
              </w:rPr>
              <w:t>工业</w:t>
            </w:r>
            <w:r>
              <w:rPr>
                <w:rFonts w:hint="eastAsia"/>
                <w:sz w:val="24"/>
                <w:shd w:val="clear"/>
              </w:rPr>
              <w:t>地产</w:t>
            </w:r>
            <w:r>
              <w:rPr>
                <w:rFonts w:hint="eastAsia"/>
                <w:sz w:val="24"/>
                <w:lang w:eastAsia="zh-CN"/>
              </w:rPr>
              <w:t>开发与运营等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142E3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5BACD05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00CEA78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FE"/>
            </w:r>
            <w:r>
              <w:rPr>
                <w:bCs/>
                <w:color w:val="000000"/>
                <w:sz w:val="24"/>
              </w:rPr>
              <w:t xml:space="preserve"> 1、在同一相关市场，参与集中的经营者所占市场份额之和小于15%。</w:t>
            </w:r>
          </w:p>
        </w:tc>
      </w:tr>
      <w:tr w14:paraId="3B7E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37C6F10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914ADE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FE"/>
            </w:r>
            <w:r>
              <w:rPr>
                <w:bCs/>
                <w:color w:val="000000"/>
                <w:sz w:val="24"/>
              </w:rPr>
              <w:t xml:space="preserve"> 2、在上下游市场，参与集中的经营者所占的市场份额均小于25%。</w:t>
            </w:r>
          </w:p>
        </w:tc>
      </w:tr>
      <w:tr w14:paraId="62436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C861788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FE1093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3、不在同一相关市场也不存在上下游关系的参与集中的经营者，在与交易有关的每个市场所占的</w:t>
            </w:r>
            <w:r>
              <w:rPr>
                <w:rFonts w:hint="eastAsia"/>
                <w:bCs/>
                <w:color w:val="000000"/>
                <w:sz w:val="24"/>
                <w:lang w:eastAsia="zh-CN"/>
              </w:rPr>
              <w:t>市场</w:t>
            </w:r>
            <w:r>
              <w:rPr>
                <w:bCs/>
                <w:color w:val="000000"/>
                <w:sz w:val="24"/>
              </w:rPr>
              <w:t>份额均小于25%。</w:t>
            </w:r>
          </w:p>
        </w:tc>
      </w:tr>
      <w:tr w14:paraId="5BEA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FE1B2FA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EAB0E85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12203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FC8A08E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3CFE2A7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27D5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A50E167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CB94262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56E98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1940" w:type="dxa"/>
            <w:shd w:val="clear" w:color="auto" w:fill="D9D9D9"/>
            <w:vAlign w:val="center"/>
          </w:tcPr>
          <w:p w14:paraId="44FD97F9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59A13E4">
            <w:pPr>
              <w:pStyle w:val="2"/>
              <w:widowControl/>
              <w:shd w:val="clear"/>
              <w:adjustRightInd w:val="0"/>
              <w:snapToGrid w:val="0"/>
              <w:spacing w:after="0"/>
              <w:rPr>
                <w:rFonts w:hint="eastAsia"/>
                <w:b/>
                <w:bCs w:val="0"/>
                <w:color w:val="000000"/>
                <w:kern w:val="0"/>
                <w:sz w:val="24"/>
                <w:highlight w:val="none"/>
                <w:lang w:val="en-GB" w:eastAsia="zh-CN"/>
              </w:rPr>
            </w:pPr>
            <w:r>
              <w:rPr>
                <w:rFonts w:hint="eastAsia"/>
                <w:b/>
                <w:bCs w:val="0"/>
                <w:color w:val="000000"/>
                <w:kern w:val="0"/>
                <w:sz w:val="24"/>
                <w:highlight w:val="none"/>
                <w:lang w:val="en-GB" w:eastAsia="zh-CN"/>
              </w:rPr>
              <w:t>横向重叠：</w:t>
            </w:r>
          </w:p>
          <w:tbl>
            <w:tblPr>
              <w:tblStyle w:val="4"/>
              <w:tblW w:w="740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4"/>
              <w:gridCol w:w="2090"/>
              <w:gridCol w:w="3311"/>
            </w:tblGrid>
            <w:tr w14:paraId="0945D0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34" w:hRule="atLeast"/>
              </w:trPr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367CF1">
                  <w:pPr>
                    <w:adjustRightInd w:val="0"/>
                    <w:snapToGrid w:val="0"/>
                    <w:jc w:val="center"/>
                    <w:rPr>
                      <w:rFonts w:ascii="Times New Roman" w:eastAsia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default" w:ascii="Times New Roman" w:eastAsia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  <w:t>相关商品市场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4A08FBA">
                  <w:pPr>
                    <w:adjustRightInd w:val="0"/>
                    <w:snapToGrid w:val="0"/>
                    <w:jc w:val="center"/>
                    <w:rPr>
                      <w:rFonts w:ascii="Times New Roman" w:eastAsia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default" w:ascii="Times New Roman" w:eastAsia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  <w:t>相关地域市场</w:t>
                  </w:r>
                </w:p>
              </w:tc>
              <w:tc>
                <w:tcPr>
                  <w:tcW w:w="331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A30975C">
                  <w:pPr>
                    <w:adjustRightInd w:val="0"/>
                    <w:snapToGrid w:val="0"/>
                    <w:jc w:val="center"/>
                    <w:rPr>
                      <w:rFonts w:ascii="Times New Roman" w:eastAsia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default" w:ascii="Times New Roman" w:hAnsi="Times New Roman" w:eastAsia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2024</w:t>
                  </w:r>
                  <w:r>
                    <w:rPr>
                      <w:rFonts w:hint="default" w:ascii="Times New Roman" w:eastAsia="宋体"/>
                      <w:b/>
                      <w:bCs w:val="0"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  <w:t>年市场份额</w:t>
                  </w:r>
                </w:p>
              </w:tc>
            </w:tr>
            <w:tr w14:paraId="088833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E5A88CF">
                  <w:pPr>
                    <w:adjustRightInd w:val="0"/>
                    <w:snapToGrid w:val="0"/>
                    <w:jc w:val="left"/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default" w:ascii="Times New Roman" w:hAnsi="Times New Roman" w:eastAsia="宋体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建筑节能服务市场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EBAA766">
                  <w:pPr>
                    <w:adjustRightInd w:val="0"/>
                    <w:snapToGrid w:val="0"/>
                    <w:jc w:val="left"/>
                    <w:rPr>
                      <w:rFonts w:ascii="Times New Roman" w:eastAsia="宋体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  <w:t>中国境内</w:t>
                  </w:r>
                </w:p>
              </w:tc>
              <w:tc>
                <w:tcPr>
                  <w:tcW w:w="331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780DEF3">
                  <w:pPr>
                    <w:adjustRightInd w:val="0"/>
                    <w:snapToGrid w:val="0"/>
                    <w:jc w:val="left"/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eastAsia="zh-CN" w:bidi="ar-AE"/>
                    </w:rPr>
                  </w:pPr>
                  <w:r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eastAsia="zh-CN" w:bidi="ar-AE"/>
                    </w:rPr>
                    <w:t>南网能源广东公司：0-5%</w:t>
                  </w:r>
                  <w:r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eastAsia="zh-CN" w:bidi="ar-AE"/>
                    </w:rPr>
                    <w:br w:type="textWrapping"/>
                  </w:r>
                  <w:r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eastAsia="zh-CN" w:bidi="ar-AE"/>
                    </w:rPr>
                    <w:t>合营企业（预估）：0-5%</w:t>
                  </w:r>
                </w:p>
                <w:p w14:paraId="34343847">
                  <w:pPr>
                    <w:adjustRightInd w:val="0"/>
                    <w:snapToGrid w:val="0"/>
                    <w:jc w:val="left"/>
                    <w:rPr>
                      <w:rFonts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bidi="ar-AE"/>
                    </w:rPr>
                  </w:pPr>
                  <w:r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eastAsia="zh-CN" w:bidi="ar-AE"/>
                    </w:rPr>
                    <w:t>各方合计：0-5%</w:t>
                  </w:r>
                </w:p>
              </w:tc>
            </w:tr>
            <w:tr w14:paraId="3CA63D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0A7B024">
                  <w:pPr>
                    <w:adjustRightInd w:val="0"/>
                    <w:snapToGrid w:val="0"/>
                    <w:jc w:val="left"/>
                    <w:rPr>
                      <w:rFonts w:ascii="Times New Roman" w:eastAsia="宋体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default" w:ascii="Times New Roman" w:hAnsi="Times New Roman" w:eastAsia="宋体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工业节能服务市场</w:t>
                  </w:r>
                </w:p>
              </w:tc>
              <w:tc>
                <w:tcPr>
                  <w:tcW w:w="20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6987B9">
                  <w:pPr>
                    <w:adjustRightInd w:val="0"/>
                    <w:snapToGrid w:val="0"/>
                    <w:jc w:val="left"/>
                    <w:rPr>
                      <w:rFonts w:ascii="Times New Roman" w:eastAsia="宋体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  <w:t>中国境内</w:t>
                  </w:r>
                </w:p>
              </w:tc>
              <w:tc>
                <w:tcPr>
                  <w:tcW w:w="331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AF63331">
                  <w:pPr>
                    <w:adjustRightInd w:val="0"/>
                    <w:snapToGrid w:val="0"/>
                    <w:jc w:val="left"/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eastAsia="zh-CN" w:bidi="ar-AE"/>
                    </w:rPr>
                  </w:pPr>
                  <w:r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eastAsia="zh-CN" w:bidi="ar-AE"/>
                    </w:rPr>
                    <w:t>南网能源广东公司：0-5%</w:t>
                  </w:r>
                  <w:r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eastAsia="zh-CN" w:bidi="ar-AE"/>
                    </w:rPr>
                    <w:br w:type="textWrapping"/>
                  </w:r>
                  <w:r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eastAsia="zh-CN" w:bidi="ar-AE"/>
                    </w:rPr>
                    <w:t>合营企业（预估）：0-5%</w:t>
                  </w:r>
                </w:p>
                <w:p w14:paraId="6FAE5FEA">
                  <w:pPr>
                    <w:adjustRightInd w:val="0"/>
                    <w:snapToGrid w:val="0"/>
                    <w:jc w:val="left"/>
                    <w:rPr>
                      <w:rFonts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bidi="ar-AE"/>
                    </w:rPr>
                  </w:pPr>
                  <w:r>
                    <w:rPr>
                      <w:rFonts w:hint="default" w:ascii="Times New Roman" w:eastAsia="宋体"/>
                      <w:bCs/>
                      <w:color w:val="000000"/>
                      <w:kern w:val="0"/>
                      <w:sz w:val="24"/>
                      <w:szCs w:val="24"/>
                      <w:highlight w:val="none"/>
                      <w:lang w:val="en-GB" w:eastAsia="zh-CN" w:bidi="ar-AE"/>
                    </w:rPr>
                    <w:t>各方合计：0-5%</w:t>
                  </w:r>
                </w:p>
              </w:tc>
            </w:tr>
          </w:tbl>
          <w:p w14:paraId="745B3F95">
            <w:pPr>
              <w:pStyle w:val="2"/>
              <w:widowControl/>
              <w:shd w:val="clear"/>
              <w:adjustRightInd w:val="0"/>
              <w:snapToGrid w:val="0"/>
              <w:spacing w:after="0"/>
              <w:rPr>
                <w:rFonts w:hint="eastAsia"/>
                <w:b/>
                <w:bCs w:val="0"/>
                <w:color w:val="000000"/>
                <w:kern w:val="0"/>
                <w:sz w:val="24"/>
                <w:highlight w:val="none"/>
                <w:lang w:val="en-GB" w:eastAsia="zh-CN"/>
              </w:rPr>
            </w:pPr>
            <w:r>
              <w:rPr>
                <w:rFonts w:hint="eastAsia"/>
                <w:b/>
                <w:bCs w:val="0"/>
                <w:color w:val="000000"/>
                <w:kern w:val="0"/>
                <w:sz w:val="24"/>
                <w:highlight w:val="none"/>
                <w:lang w:val="en-GB" w:eastAsia="zh-CN"/>
              </w:rPr>
              <w:t>纵向关联：</w:t>
            </w:r>
          </w:p>
          <w:tbl>
            <w:tblPr>
              <w:tblStyle w:val="4"/>
              <w:tblW w:w="745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90"/>
              <w:gridCol w:w="1740"/>
              <w:gridCol w:w="3725"/>
            </w:tblGrid>
            <w:tr w14:paraId="613597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90" w:type="dxa"/>
                  <w:shd w:val="clear" w:color="auto" w:fill="auto"/>
                  <w:noWrap w:val="0"/>
                  <w:vAlign w:val="top"/>
                </w:tcPr>
                <w:p w14:paraId="50824270">
                  <w:pPr>
                    <w:widowControl/>
                    <w:adjustRightInd w:val="0"/>
                    <w:snapToGrid w:val="0"/>
                    <w:spacing w:after="0" w:line="240" w:lineRule="auto"/>
                    <w:jc w:val="center"/>
                    <w:rPr>
                      <w:rFonts w:ascii="Times New Roman" w:hAnsi="Times New Roman" w:eastAsia="宋体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kern w:val="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40" w:type="dxa"/>
                  <w:shd w:val="clear" w:color="auto" w:fill="auto"/>
                  <w:noWrap w:val="0"/>
                  <w:vAlign w:val="top"/>
                </w:tcPr>
                <w:p w14:paraId="06BE4EA2">
                  <w:pPr>
                    <w:widowControl/>
                    <w:adjustRightInd w:val="0"/>
                    <w:snapToGrid w:val="0"/>
                    <w:spacing w:after="0" w:line="240" w:lineRule="auto"/>
                    <w:jc w:val="center"/>
                    <w:rPr>
                      <w:rFonts w:ascii="Times New Roman" w:hAnsi="Times New Roman" w:eastAsia="宋体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kern w:val="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725" w:type="dxa"/>
                  <w:shd w:val="clear" w:color="auto" w:fill="auto"/>
                  <w:noWrap w:val="0"/>
                  <w:vAlign w:val="top"/>
                </w:tcPr>
                <w:p w14:paraId="2AFADC98">
                  <w:pPr>
                    <w:widowControl/>
                    <w:adjustRightInd w:val="0"/>
                    <w:snapToGrid w:val="0"/>
                    <w:spacing w:after="0" w:line="240" w:lineRule="auto"/>
                    <w:jc w:val="center"/>
                    <w:rPr>
                      <w:rFonts w:ascii="Times New Roman" w:hAnsi="Times New Roman" w:eastAsia="宋体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bCs/>
                      <w:kern w:val="0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hint="eastAsia" w:ascii="Times New Roman" w:hAnsi="Times New Roman" w:cs="Times New Roman"/>
                      <w:b/>
                      <w:bCs/>
                      <w:kern w:val="0"/>
                      <w:sz w:val="24"/>
                      <w:szCs w:val="24"/>
                    </w:rPr>
                    <w:t>年市场份额</w:t>
                  </w:r>
                </w:p>
              </w:tc>
            </w:tr>
            <w:tr w14:paraId="1927CC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90" w:type="dxa"/>
                  <w:noWrap w:val="0"/>
                  <w:vAlign w:val="center"/>
                </w:tcPr>
                <w:p w14:paraId="0E6BB79B">
                  <w:pPr>
                    <w:widowControl/>
                    <w:adjustRightInd w:val="0"/>
                    <w:snapToGrid w:val="0"/>
                    <w:spacing w:after="0" w:line="240" w:lineRule="auto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建筑节能服务</w:t>
                  </w:r>
                  <w:r>
                    <w:rPr>
                      <w:rFonts w:hint="eastAsia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市场</w:t>
                  </w:r>
                </w:p>
                <w:p w14:paraId="31E26C1C">
                  <w:pPr>
                    <w:widowControl/>
                    <w:adjustRightInd w:val="0"/>
                    <w:snapToGrid w:val="0"/>
                    <w:spacing w:after="0" w:line="240" w:lineRule="auto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工业地产开发与运营</w:t>
                  </w:r>
                  <w:r>
                    <w:rPr>
                      <w:rFonts w:hint="eastAsia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市场</w:t>
                  </w:r>
                </w:p>
                <w:p w14:paraId="27BDE653">
                  <w:pPr>
                    <w:widowControl/>
                    <w:adjustRightInd w:val="0"/>
                    <w:snapToGrid w:val="0"/>
                    <w:spacing w:after="0" w:line="240" w:lineRule="auto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-AE"/>
                    </w:rPr>
                  </w:pPr>
                </w:p>
              </w:tc>
              <w:tc>
                <w:tcPr>
                  <w:tcW w:w="1740" w:type="dxa"/>
                  <w:noWrap w:val="0"/>
                  <w:vAlign w:val="top"/>
                </w:tcPr>
                <w:p w14:paraId="7FF53EA5">
                  <w:pPr>
                    <w:widowControl/>
                    <w:adjustRightInd w:val="0"/>
                    <w:snapToGrid w:val="0"/>
                    <w:spacing w:after="0" w:line="240" w:lineRule="auto"/>
                    <w:jc w:val="both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  <w:t>上游：中国境内</w:t>
                  </w:r>
                </w:p>
                <w:p w14:paraId="76DF1BF4">
                  <w:pPr>
                    <w:widowControl/>
                    <w:adjustRightInd w:val="0"/>
                    <w:snapToGrid w:val="0"/>
                    <w:spacing w:after="0" w:line="240" w:lineRule="auto"/>
                    <w:jc w:val="both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-AE"/>
                    </w:rPr>
                    <w:t>广州市</w:t>
                  </w:r>
                </w:p>
                <w:p w14:paraId="32984CDC">
                  <w:pPr>
                    <w:widowControl/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</w:p>
              </w:tc>
              <w:tc>
                <w:tcPr>
                  <w:tcW w:w="3725" w:type="dxa"/>
                  <w:noWrap w:val="0"/>
                  <w:vAlign w:val="center"/>
                </w:tcPr>
                <w:p w14:paraId="1F19882D">
                  <w:pPr>
                    <w:widowControl/>
                    <w:adjustRightInd w:val="0"/>
                    <w:snapToGrid w:val="0"/>
                    <w:spacing w:after="0" w:line="240" w:lineRule="auto"/>
                    <w:jc w:val="left"/>
                    <w:rPr>
                      <w:rFonts w:hint="eastAsia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eastAsia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上游：中国境内建筑节能服务市场</w:t>
                  </w:r>
                </w:p>
                <w:p w14:paraId="546A3A70">
                  <w:pPr>
                    <w:widowControl/>
                    <w:adjustRightInd w:val="0"/>
                    <w:snapToGrid w:val="0"/>
                    <w:spacing w:after="0" w:line="240" w:lineRule="auto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如上所述</w:t>
                  </w:r>
                </w:p>
                <w:p w14:paraId="08F53F08">
                  <w:pPr>
                    <w:widowControl/>
                    <w:adjustRightInd w:val="0"/>
                    <w:snapToGrid w:val="0"/>
                    <w:spacing w:after="0" w:line="240" w:lineRule="auto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eastAsia="zh-CN" w:bidi="ar-AE"/>
                    </w:rPr>
                    <w:t>下游：广州市工业地产开发与运营市场</w:t>
                  </w:r>
                </w:p>
                <w:p w14:paraId="3F8134A1">
                  <w:pPr>
                    <w:widowControl/>
                    <w:adjustRightInd w:val="0"/>
                    <w:snapToGrid w:val="0"/>
                    <w:spacing w:after="0" w:line="240" w:lineRule="auto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0"/>
                      <w:sz w:val="24"/>
                      <w:szCs w:val="24"/>
                      <w:lang w:val="en-GB" w:bidi="ar-AE"/>
                    </w:rPr>
                    <w:t>环保投资集团：0-5%</w:t>
                  </w:r>
                </w:p>
              </w:tc>
            </w:tr>
          </w:tbl>
          <w:p w14:paraId="19CAD3AF">
            <w:pPr>
              <w:pStyle w:val="2"/>
              <w:widowControl/>
              <w:shd w:val="clear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/>
                <w:kern w:val="0"/>
                <w:sz w:val="24"/>
                <w:highlight w:val="none"/>
                <w:lang w:val="en-GB" w:eastAsia="zh-CN"/>
              </w:rPr>
            </w:pPr>
          </w:p>
        </w:tc>
      </w:tr>
    </w:tbl>
    <w:p w14:paraId="4139F5E9">
      <w:pPr>
        <w:adjustRightInd w:val="0"/>
        <w:snapToGrid w:val="0"/>
        <w:rPr>
          <w:rFonts w:eastAsiaTheme="minorEastAsia"/>
        </w:rPr>
      </w:pPr>
    </w:p>
    <w:p w14:paraId="10DF4D3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34CA6"/>
    <w:rsid w:val="0CD3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table" w:styleId="4">
    <w:name w:val="Table Grid"/>
    <w:basedOn w:val="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2026-03-13T02:17:00Z</dcterms:created>
  <dc:creator>郑玉丽</dc:creator>
  <cp:lastModifiedBy>郑玉丽</cp:lastModifiedBy>
  <dcterms:modified xsi:type="dcterms:W3CDTF">2026-03-13T02:18:12Z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701A052332B74C4182A6D576ACDD39E0_11</vt:lpwstr>
  </property>
  <property fmtid="{D5CDD505-2E9C-101B-9397-08002B2CF9AE}" pid="4" name="KSOTemplateDocerSaveRecord">
    <vt:lpwstr>eyJoZGlkIjoiODNjM2VkZWUwYjdkZDYzZGY2NmZiZGNiZGIyMjFjYWIiLCJ1c2VySWQiOiIxMjE0ODEzMDc5In0=</vt:lpwstr>
  </property>
</Properties>
</file>