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440" w:lineRule="exact"/>
        <w:jc w:val="center"/>
        <w:rPr>
          <w:rFonts w:ascii="Times New Roman" w:hAnsi="Times New Roman" w:eastAsia="仿宋"/>
          <w:b/>
          <w:sz w:val="24"/>
          <w:szCs w:val="21"/>
        </w:rPr>
      </w:pPr>
      <w:r>
        <w:rPr>
          <w:rFonts w:ascii="Times New Roman" w:hAnsi="Times New Roman" w:eastAsia="仿宋"/>
          <w:b/>
          <w:sz w:val="24"/>
          <w:szCs w:val="21"/>
        </w:rPr>
        <w:t>经营者集中简易案件公示表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kern w:val="0"/>
                <w:szCs w:val="2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widowControl/>
              <w:snapToGrid w:val="0"/>
              <w:spacing w:before="156" w:beforeLines="50" w:after="156" w:afterLines="50"/>
              <w:rPr>
                <w:rFonts w:ascii="Times New Roman" w:hAnsi="Times New Roman" w:eastAsia="仿宋"/>
                <w:kern w:val="0"/>
                <w:szCs w:val="21"/>
              </w:rPr>
            </w:pPr>
            <w:r>
              <w:rPr>
                <w:rFonts w:hint="eastAsia" w:ascii="Times New Roman" w:hAnsi="Times New Roman" w:eastAsia="仿宋"/>
                <w:kern w:val="0"/>
                <w:szCs w:val="21"/>
              </w:rPr>
              <w:t>太盟亚洲第三有限合伙收购先尼科控股有限公司股权案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t>交易概况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t>（限200字内）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before="156" w:beforeLines="50" w:after="156" w:afterLines="50"/>
              <w:rPr>
                <w:rFonts w:ascii="Times New Roman" w:hAnsi="Times New Roman" w:eastAsia="仿宋"/>
                <w:szCs w:val="21"/>
              </w:rPr>
            </w:pPr>
            <w:r>
              <w:rPr>
                <w:rFonts w:ascii="Times New Roman" w:hAnsi="Times New Roman" w:eastAsia="仿宋"/>
                <w:szCs w:val="21"/>
              </w:rPr>
              <w:t>本次交易涉及</w:t>
            </w:r>
            <w:r>
              <w:rPr>
                <w:rFonts w:hint="eastAsia" w:ascii="Times New Roman" w:hAnsi="Times New Roman" w:eastAsia="仿宋"/>
                <w:szCs w:val="21"/>
              </w:rPr>
              <w:t>太盟亚洲第三有限合伙</w:t>
            </w:r>
            <w:r>
              <w:rPr>
                <w:rFonts w:ascii="Times New Roman" w:hAnsi="Times New Roman" w:eastAsia="仿宋"/>
                <w:bCs/>
                <w:szCs w:val="21"/>
              </w:rPr>
              <w:t>（PAG Asia III LP）</w:t>
            </w:r>
            <w:r>
              <w:rPr>
                <w:rFonts w:hint="eastAsia" w:ascii="Times New Roman" w:hAnsi="Times New Roman" w:eastAsia="仿宋"/>
                <w:szCs w:val="21"/>
              </w:rPr>
              <w:t>收购先尼科控股有限公司</w:t>
            </w:r>
            <w:r>
              <w:rPr>
                <w:rFonts w:ascii="Times New Roman" w:hAnsi="Times New Roman" w:eastAsia="仿宋"/>
                <w:szCs w:val="21"/>
              </w:rPr>
              <w:t>（CINIC Holdings Limited，简称“先尼科”）65%的股权。交易完成后，</w:t>
            </w:r>
            <w:r>
              <w:rPr>
                <w:rFonts w:hint="eastAsia" w:ascii="Times New Roman" w:hAnsi="Times New Roman" w:eastAsia="仿宋"/>
                <w:szCs w:val="21"/>
              </w:rPr>
              <w:t>先尼科</w:t>
            </w:r>
            <w:r>
              <w:rPr>
                <w:rFonts w:ascii="Times New Roman" w:hAnsi="Times New Roman" w:eastAsia="仿宋"/>
                <w:szCs w:val="21"/>
              </w:rPr>
              <w:t>将由</w:t>
            </w:r>
            <w:r>
              <w:rPr>
                <w:rFonts w:eastAsia="仿宋" w:cs="Calibri"/>
                <w:kern w:val="0"/>
                <w:szCs w:val="21"/>
              </w:rPr>
              <w:t>太盟</w:t>
            </w:r>
            <w:r>
              <w:rPr>
                <w:rFonts w:ascii="Times New Roman" w:hAnsi="Times New Roman" w:eastAsia="仿宋"/>
                <w:szCs w:val="21"/>
              </w:rPr>
              <w:t>亚洲第三有限合伙</w:t>
            </w:r>
            <w:r>
              <w:rPr>
                <w:rFonts w:hint="eastAsia" w:ascii="Times New Roman" w:hAnsi="Times New Roman" w:eastAsia="仿宋"/>
                <w:szCs w:val="21"/>
              </w:rPr>
              <w:t>与</w:t>
            </w:r>
            <w:r>
              <w:rPr>
                <w:rFonts w:ascii="Times New Roman" w:hAnsi="Times New Roman" w:eastAsia="仿宋"/>
                <w:szCs w:val="21"/>
              </w:rPr>
              <w:t>原股东先尼科集团有限公司（CINIC Group Company Limited）共同控制。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t>参与集中的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t>1、</w:t>
            </w:r>
            <w:r>
              <w:rPr>
                <w:rFonts w:hint="eastAsia" w:ascii="Times New Roman" w:hAnsi="Times New Roman" w:eastAsia="仿宋"/>
                <w:bCs/>
                <w:kern w:val="0"/>
                <w:szCs w:val="21"/>
              </w:rPr>
              <w:t>太盟亚洲第三有限合伙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"/>
                <w:szCs w:val="21"/>
              </w:rPr>
            </w:pPr>
            <w:r>
              <w:rPr>
                <w:rFonts w:hint="eastAsia" w:ascii="Times New Roman" w:hAnsi="Times New Roman" w:eastAsia="仿宋"/>
                <w:szCs w:val="21"/>
              </w:rPr>
              <w:t>太盟亚洲第三有限合伙成立于2018年</w:t>
            </w:r>
            <w:r>
              <w:rPr>
                <w:rFonts w:ascii="Times New Roman" w:hAnsi="Times New Roman" w:eastAsia="仿宋"/>
                <w:szCs w:val="21"/>
              </w:rPr>
              <w:t>7</w:t>
            </w:r>
            <w:r>
              <w:rPr>
                <w:rFonts w:hint="eastAsia" w:ascii="Times New Roman" w:hAnsi="Times New Roman" w:eastAsia="仿宋"/>
                <w:szCs w:val="21"/>
              </w:rPr>
              <w:t>月</w:t>
            </w:r>
            <w:r>
              <w:rPr>
                <w:rFonts w:ascii="Times New Roman" w:hAnsi="Times New Roman" w:eastAsia="仿宋"/>
                <w:szCs w:val="21"/>
              </w:rPr>
              <w:t>2</w:t>
            </w:r>
            <w:r>
              <w:rPr>
                <w:rFonts w:hint="eastAsia" w:ascii="Times New Roman" w:hAnsi="Times New Roman" w:eastAsia="仿宋"/>
                <w:szCs w:val="21"/>
              </w:rPr>
              <w:t>3日，注册地位于英属开曼群岛。太盟亚洲第三有限合伙专注于包括日本、韩国、中国、东南亚、印度及澳大利亚在内的亚洲主要市场的私人股权投资业务。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szCs w:val="21"/>
              </w:rPr>
              <w:t>2、</w:t>
            </w:r>
            <w:r>
              <w:rPr>
                <w:rFonts w:eastAsia="仿宋" w:cs="Calibri"/>
                <w:szCs w:val="21"/>
              </w:rPr>
              <w:t>先尼科集团有限公司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"/>
                <w:szCs w:val="21"/>
              </w:rPr>
            </w:pPr>
            <w:r>
              <w:rPr>
                <w:rFonts w:hint="eastAsia" w:ascii="Times New Roman" w:hAnsi="Times New Roman" w:eastAsia="仿宋"/>
                <w:szCs w:val="21"/>
              </w:rPr>
              <w:t>先尼科集团有限公司成立于2018年11月28日，注册地位于英属开曼群岛。先尼科集团有限公司是先尼科控股有限公司的主要股东之一。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"/>
                <w:szCs w:val="21"/>
              </w:rPr>
            </w:pPr>
            <w:r>
              <w:rPr>
                <w:rFonts w:hint="eastAsia" w:ascii="Times New Roman" w:hAnsi="Times New Roman" w:eastAsia="仿宋"/>
                <w:szCs w:val="21"/>
              </w:rPr>
              <w:t>3、先尼科控股有限公司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"/>
                <w:szCs w:val="21"/>
              </w:rPr>
            </w:pPr>
            <w:r>
              <w:rPr>
                <w:rFonts w:hint="eastAsia" w:ascii="Times New Roman" w:hAnsi="Times New Roman" w:eastAsia="仿宋"/>
                <w:szCs w:val="21"/>
              </w:rPr>
              <w:t>先尼科控股有限公司成立于2003年5月13日，注册地位于中国香港。先尼科控股有限公司及旗下实体主要从事有机颜料的研发、生产、销售，包括主要在中国进行有机颜料的研发和生产，并在中国及全球范围内销售有机颜料产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sym w:font="Wingdings" w:char="F0A8"/>
            </w: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sym w:font="Wingdings" w:char="F0A8"/>
            </w: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sym w:font="Wingdings" w:char="F0FE"/>
            </w: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sym w:font="Wingdings" w:char="F0A8"/>
            </w: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t>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sym w:font="Wingdings" w:char="F0A8"/>
            </w: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t>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sym w:font="Wingdings" w:char="F0A8"/>
            </w: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t>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t>就本次交易而言，交易各方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Cs w:val="21"/>
              </w:rPr>
              <w:t>之间的业务不存在任何横向重叠且不具有任何上下游和相邻关系。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Cs w:val="21"/>
              </w:rPr>
              <w:t>相关市场：</w:t>
            </w:r>
            <w:r>
              <w:rPr>
                <w:rFonts w:hint="eastAsia" w:ascii="Times New Roman" w:hAnsi="Times New Roman" w:eastAsia="仿宋"/>
                <w:b/>
                <w:color w:val="333333"/>
                <w:kern w:val="0"/>
                <w:szCs w:val="21"/>
              </w:rPr>
              <w:t>中国</w:t>
            </w:r>
            <w:r>
              <w:rPr>
                <w:rFonts w:hint="eastAsia" w:ascii="Times New Roman" w:hAnsi="Times New Roman" w:eastAsia="仿宋"/>
                <w:b/>
                <w:color w:val="333333"/>
                <w:kern w:val="0"/>
                <w:szCs w:val="21"/>
                <w:lang w:eastAsia="zh-CN"/>
              </w:rPr>
              <w:t>境内</w:t>
            </w:r>
            <w:bookmarkStart w:id="0" w:name="_GoBack"/>
            <w:bookmarkEnd w:id="0"/>
            <w:r>
              <w:rPr>
                <w:rFonts w:hint="eastAsia" w:ascii="Times New Roman" w:hAnsi="Times New Roman" w:eastAsia="仿宋"/>
                <w:b/>
                <w:color w:val="333333"/>
                <w:kern w:val="0"/>
                <w:szCs w:val="21"/>
              </w:rPr>
              <w:t>有机颜料市场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Cs w:val="21"/>
              </w:rPr>
              <w:t>市场份额：</w:t>
            </w:r>
          </w:p>
          <w:p>
            <w:pPr>
              <w:pStyle w:val="9"/>
              <w:numPr>
                <w:ilvl w:val="0"/>
                <w:numId w:val="2"/>
              </w:numPr>
              <w:spacing w:before="156" w:beforeLines="50" w:after="156" w:afterLines="50"/>
              <w:ind w:firstLineChars="0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Cs w:val="21"/>
              </w:rPr>
              <w:t>先尼科：[</w:t>
            </w:r>
            <w:r>
              <w:rPr>
                <w:rFonts w:ascii="Times New Roman" w:hAnsi="Times New Roman" w:eastAsia="仿宋"/>
                <w:color w:val="333333"/>
                <w:kern w:val="0"/>
                <w:szCs w:val="21"/>
              </w:rPr>
              <w:t>0-5]%</w:t>
            </w:r>
          </w:p>
          <w:p>
            <w:pPr>
              <w:pStyle w:val="9"/>
              <w:numPr>
                <w:ilvl w:val="0"/>
                <w:numId w:val="2"/>
              </w:numPr>
              <w:spacing w:before="156" w:beforeLines="50" w:after="156" w:afterLines="50"/>
              <w:ind w:firstLineChars="0"/>
              <w:rPr>
                <w:rFonts w:ascii="Times New Roman" w:hAnsi="Times New Roman" w:eastAsia="仿宋"/>
                <w:color w:val="333333"/>
                <w:kern w:val="0"/>
                <w:szCs w:val="21"/>
              </w:rPr>
            </w:pPr>
            <w:r>
              <w:rPr>
                <w:rFonts w:hint="eastAsia" w:ascii="Times New Roman" w:hAnsi="Times New Roman" w:eastAsia="仿宋"/>
                <w:bCs/>
                <w:kern w:val="0"/>
                <w:szCs w:val="21"/>
              </w:rPr>
              <w:t>太盟亚洲第三有限合伙：0</w:t>
            </w:r>
          </w:p>
        </w:tc>
      </w:tr>
    </w:tbl>
    <w:p>
      <w:pPr>
        <w:spacing w:before="156" w:beforeLines="50" w:after="156" w:afterLines="50"/>
        <w:rPr>
          <w:rFonts w:ascii="Times New Roman" w:hAnsi="Times New Roman" w:eastAsia="仿宋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826A3F"/>
    <w:multiLevelType w:val="multilevel"/>
    <w:tmpl w:val="32826A3F"/>
    <w:lvl w:ilvl="0" w:tentative="0">
      <w:start w:val="1"/>
      <w:numFmt w:val="bullet"/>
      <w:lvlText w:val="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661803A2"/>
    <w:multiLevelType w:val="multilevel"/>
    <w:tmpl w:val="661803A2"/>
    <w:lvl w:ilvl="0" w:tentative="0">
      <w:start w:val="1"/>
      <w:numFmt w:val="decimal"/>
      <w:pStyle w:val="11"/>
      <w:lvlText w:val="%1."/>
      <w:lvlJc w:val="left"/>
      <w:pPr>
        <w:tabs>
          <w:tab w:val="left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color w:val="auto"/>
        <w:u w:val="none"/>
      </w:rPr>
    </w:lvl>
    <w:lvl w:ilvl="1" w:tentative="0">
      <w:start w:val="1"/>
      <w:numFmt w:val="decimal"/>
      <w:pStyle w:val="12"/>
      <w:lvlText w:val="%1.%2"/>
      <w:lvlJc w:val="left"/>
      <w:pPr>
        <w:tabs>
          <w:tab w:val="left" w:pos="720"/>
        </w:tabs>
        <w:ind w:left="0" w:firstLine="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2" w:tentative="0">
      <w:start w:val="1"/>
      <w:numFmt w:val="lowerLetter"/>
      <w:pStyle w:val="13"/>
      <w:lvlText w:val="(%3)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3" w:tentative="0">
      <w:start w:val="1"/>
      <w:numFmt w:val="lowerRoman"/>
      <w:pStyle w:val="14"/>
      <w:lvlText w:val="(%4)"/>
      <w:lvlJc w:val="right"/>
      <w:pPr>
        <w:tabs>
          <w:tab w:val="left" w:pos="1440"/>
        </w:tabs>
        <w:ind w:left="144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4" w:tentative="0">
      <w:start w:val="1"/>
      <w:numFmt w:val="upperLetter"/>
      <w:pStyle w:val="15"/>
      <w:lvlText w:val="(%5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5" w:tentative="0">
      <w:start w:val="1"/>
      <w:numFmt w:val="upperRoman"/>
      <w:pStyle w:val="16"/>
      <w:lvlText w:val="(%6)"/>
      <w:lvlJc w:val="right"/>
      <w:pPr>
        <w:tabs>
          <w:tab w:val="left" w:pos="2880"/>
        </w:tabs>
        <w:ind w:left="288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6" w:tentative="0">
      <w:start w:val="27"/>
      <w:numFmt w:val="lowerLetter"/>
      <w:pStyle w:val="17"/>
      <w:lvlText w:val="(%7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7" w:tentative="0">
      <w:start w:val="1"/>
      <w:numFmt w:val="decimal"/>
      <w:pStyle w:val="18"/>
      <w:lvlText w:val="(%8)"/>
      <w:lvlJc w:val="left"/>
      <w:pPr>
        <w:tabs>
          <w:tab w:val="left" w:pos="4320"/>
        </w:tabs>
        <w:ind w:left="43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8" w:tentative="0">
      <w:start w:val="1"/>
      <w:numFmt w:val="lowerRoman"/>
      <w:lvlText w:val="%9)"/>
      <w:lvlJc w:val="left"/>
      <w:pPr>
        <w:tabs>
          <w:tab w:val="left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0479"/>
    <w:rsid w:val="00037065"/>
    <w:rsid w:val="000470E5"/>
    <w:rsid w:val="000517AE"/>
    <w:rsid w:val="00053368"/>
    <w:rsid w:val="00062BA3"/>
    <w:rsid w:val="000652FE"/>
    <w:rsid w:val="00065885"/>
    <w:rsid w:val="00083613"/>
    <w:rsid w:val="000A096D"/>
    <w:rsid w:val="000A7097"/>
    <w:rsid w:val="000C6AE2"/>
    <w:rsid w:val="000D7EBA"/>
    <w:rsid w:val="000F48CB"/>
    <w:rsid w:val="000F55A9"/>
    <w:rsid w:val="001164CD"/>
    <w:rsid w:val="0013385D"/>
    <w:rsid w:val="00155717"/>
    <w:rsid w:val="001837A3"/>
    <w:rsid w:val="001C56B2"/>
    <w:rsid w:val="001E53AF"/>
    <w:rsid w:val="00235CBD"/>
    <w:rsid w:val="002818E2"/>
    <w:rsid w:val="002917B8"/>
    <w:rsid w:val="002B3A21"/>
    <w:rsid w:val="002D01E4"/>
    <w:rsid w:val="002E02D4"/>
    <w:rsid w:val="0030365A"/>
    <w:rsid w:val="003129F5"/>
    <w:rsid w:val="00315756"/>
    <w:rsid w:val="00330118"/>
    <w:rsid w:val="003306F8"/>
    <w:rsid w:val="003401FB"/>
    <w:rsid w:val="00370E7D"/>
    <w:rsid w:val="0038536B"/>
    <w:rsid w:val="003A5C8D"/>
    <w:rsid w:val="003B14F6"/>
    <w:rsid w:val="003C0AEB"/>
    <w:rsid w:val="003E0114"/>
    <w:rsid w:val="003E4B9D"/>
    <w:rsid w:val="00412858"/>
    <w:rsid w:val="0043059E"/>
    <w:rsid w:val="00470CFE"/>
    <w:rsid w:val="00493857"/>
    <w:rsid w:val="004F7688"/>
    <w:rsid w:val="004F7B86"/>
    <w:rsid w:val="0050638D"/>
    <w:rsid w:val="00522527"/>
    <w:rsid w:val="00525D33"/>
    <w:rsid w:val="00542FA4"/>
    <w:rsid w:val="00556B93"/>
    <w:rsid w:val="0059614F"/>
    <w:rsid w:val="00597BE5"/>
    <w:rsid w:val="005C13CD"/>
    <w:rsid w:val="005F52FF"/>
    <w:rsid w:val="00643B4D"/>
    <w:rsid w:val="006467D8"/>
    <w:rsid w:val="00666EB6"/>
    <w:rsid w:val="00673309"/>
    <w:rsid w:val="006A05E6"/>
    <w:rsid w:val="006A531B"/>
    <w:rsid w:val="006C50A8"/>
    <w:rsid w:val="006F2C64"/>
    <w:rsid w:val="006F3A2A"/>
    <w:rsid w:val="006F3FB2"/>
    <w:rsid w:val="006F7693"/>
    <w:rsid w:val="00710140"/>
    <w:rsid w:val="007118AA"/>
    <w:rsid w:val="00726B9D"/>
    <w:rsid w:val="00741712"/>
    <w:rsid w:val="00745CAD"/>
    <w:rsid w:val="007E0D65"/>
    <w:rsid w:val="007F2275"/>
    <w:rsid w:val="007F50D7"/>
    <w:rsid w:val="008102A7"/>
    <w:rsid w:val="00813A44"/>
    <w:rsid w:val="008147EE"/>
    <w:rsid w:val="0081637E"/>
    <w:rsid w:val="008341BD"/>
    <w:rsid w:val="008377FB"/>
    <w:rsid w:val="008579ED"/>
    <w:rsid w:val="008779BF"/>
    <w:rsid w:val="00882424"/>
    <w:rsid w:val="008854CF"/>
    <w:rsid w:val="008A3F7C"/>
    <w:rsid w:val="008B3329"/>
    <w:rsid w:val="008C7B21"/>
    <w:rsid w:val="008F03D5"/>
    <w:rsid w:val="008F41B9"/>
    <w:rsid w:val="009012F9"/>
    <w:rsid w:val="00915F0F"/>
    <w:rsid w:val="00923075"/>
    <w:rsid w:val="00930298"/>
    <w:rsid w:val="009532DF"/>
    <w:rsid w:val="00997019"/>
    <w:rsid w:val="009A5029"/>
    <w:rsid w:val="009D38D5"/>
    <w:rsid w:val="009D3C6C"/>
    <w:rsid w:val="009E46A6"/>
    <w:rsid w:val="00A53F26"/>
    <w:rsid w:val="00AA0CC5"/>
    <w:rsid w:val="00AB1837"/>
    <w:rsid w:val="00AB1989"/>
    <w:rsid w:val="00AE756A"/>
    <w:rsid w:val="00AF000A"/>
    <w:rsid w:val="00B00A13"/>
    <w:rsid w:val="00B14FA5"/>
    <w:rsid w:val="00B160D5"/>
    <w:rsid w:val="00B16AFE"/>
    <w:rsid w:val="00B27757"/>
    <w:rsid w:val="00B52D10"/>
    <w:rsid w:val="00B63430"/>
    <w:rsid w:val="00B65DD5"/>
    <w:rsid w:val="00BA595D"/>
    <w:rsid w:val="00BD10B6"/>
    <w:rsid w:val="00BF56EB"/>
    <w:rsid w:val="00C02F4F"/>
    <w:rsid w:val="00C07076"/>
    <w:rsid w:val="00C34FDF"/>
    <w:rsid w:val="00C60180"/>
    <w:rsid w:val="00C60C96"/>
    <w:rsid w:val="00CA1090"/>
    <w:rsid w:val="00CB00DF"/>
    <w:rsid w:val="00CF4EAB"/>
    <w:rsid w:val="00D73C72"/>
    <w:rsid w:val="00DA040C"/>
    <w:rsid w:val="00E0592B"/>
    <w:rsid w:val="00E06998"/>
    <w:rsid w:val="00E31317"/>
    <w:rsid w:val="00E31738"/>
    <w:rsid w:val="00E327B3"/>
    <w:rsid w:val="00E501D7"/>
    <w:rsid w:val="00E86786"/>
    <w:rsid w:val="00EA5BC7"/>
    <w:rsid w:val="00EA727A"/>
    <w:rsid w:val="00ED2F80"/>
    <w:rsid w:val="00EE0F53"/>
    <w:rsid w:val="00F1624E"/>
    <w:rsid w:val="00F167D7"/>
    <w:rsid w:val="00F16E22"/>
    <w:rsid w:val="00F32F8A"/>
    <w:rsid w:val="00F33222"/>
    <w:rsid w:val="00F810AA"/>
    <w:rsid w:val="00F81A58"/>
    <w:rsid w:val="00F838A0"/>
    <w:rsid w:val="00F9018A"/>
    <w:rsid w:val="00FB43EC"/>
    <w:rsid w:val="00FB6B40"/>
    <w:rsid w:val="FEBDEDA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6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11">
    <w:name w:val="FWB_L1"/>
    <w:basedOn w:val="1"/>
    <w:next w:val="12"/>
    <w:qFormat/>
    <w:uiPriority w:val="0"/>
    <w:pPr>
      <w:keepNext/>
      <w:keepLines/>
      <w:widowControl/>
      <w:numPr>
        <w:ilvl w:val="0"/>
        <w:numId w:val="1"/>
      </w:numPr>
      <w:spacing w:after="240"/>
      <w:jc w:val="left"/>
      <w:outlineLvl w:val="0"/>
    </w:pPr>
    <w:rPr>
      <w:rFonts w:ascii="Times New Roman" w:hAnsi="Times New Roman" w:eastAsia="Times New Roman"/>
      <w:b/>
      <w:smallCaps/>
      <w:kern w:val="0"/>
      <w:sz w:val="24"/>
      <w:szCs w:val="20"/>
      <w:lang w:eastAsia="en-US"/>
    </w:rPr>
  </w:style>
  <w:style w:type="paragraph" w:customStyle="1" w:styleId="12">
    <w:name w:val="FWB_L2"/>
    <w:basedOn w:val="11"/>
    <w:qFormat/>
    <w:uiPriority w:val="0"/>
    <w:pPr>
      <w:keepNext w:val="0"/>
      <w:keepLines w:val="0"/>
      <w:numPr>
        <w:ilvl w:val="1"/>
      </w:numPr>
      <w:jc w:val="both"/>
      <w:outlineLvl w:val="9"/>
    </w:pPr>
    <w:rPr>
      <w:b w:val="0"/>
      <w:smallCaps w:val="0"/>
    </w:rPr>
  </w:style>
  <w:style w:type="paragraph" w:customStyle="1" w:styleId="13">
    <w:name w:val="FWB_L3"/>
    <w:basedOn w:val="12"/>
    <w:qFormat/>
    <w:uiPriority w:val="0"/>
    <w:pPr>
      <w:numPr>
        <w:ilvl w:val="2"/>
      </w:numPr>
    </w:pPr>
  </w:style>
  <w:style w:type="paragraph" w:customStyle="1" w:styleId="14">
    <w:name w:val="FWB_L4"/>
    <w:basedOn w:val="13"/>
    <w:qFormat/>
    <w:uiPriority w:val="0"/>
    <w:pPr>
      <w:numPr>
        <w:ilvl w:val="3"/>
      </w:numPr>
    </w:pPr>
  </w:style>
  <w:style w:type="paragraph" w:customStyle="1" w:styleId="15">
    <w:name w:val="FWB_L5"/>
    <w:basedOn w:val="14"/>
    <w:qFormat/>
    <w:uiPriority w:val="0"/>
    <w:pPr>
      <w:numPr>
        <w:ilvl w:val="4"/>
      </w:numPr>
      <w:tabs>
        <w:tab w:val="left" w:pos="1440"/>
      </w:tabs>
      <w:ind w:left="1440" w:hanging="216"/>
    </w:pPr>
  </w:style>
  <w:style w:type="paragraph" w:customStyle="1" w:styleId="16">
    <w:name w:val="FWB_L6"/>
    <w:basedOn w:val="15"/>
    <w:qFormat/>
    <w:uiPriority w:val="0"/>
    <w:pPr>
      <w:numPr>
        <w:ilvl w:val="5"/>
      </w:numPr>
    </w:pPr>
  </w:style>
  <w:style w:type="paragraph" w:customStyle="1" w:styleId="17">
    <w:name w:val="FWB_L7"/>
    <w:basedOn w:val="16"/>
    <w:qFormat/>
    <w:uiPriority w:val="0"/>
    <w:pPr>
      <w:numPr>
        <w:ilvl w:val="6"/>
      </w:numPr>
    </w:pPr>
  </w:style>
  <w:style w:type="paragraph" w:customStyle="1" w:styleId="18">
    <w:name w:val="FWB_L8"/>
    <w:basedOn w:val="17"/>
    <w:qFormat/>
    <w:uiPriority w:val="0"/>
    <w:pPr>
      <w:numPr>
        <w:ilvl w:val="7"/>
      </w:numPr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135</Words>
  <Characters>770</Characters>
  <Lines>6</Lines>
  <Paragraphs>1</Paragraphs>
  <TotalTime>53</TotalTime>
  <ScaleCrop>false</ScaleCrop>
  <LinksUpToDate>false</LinksUpToDate>
  <CharactersWithSpaces>904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2020-09-30T16:02:00Z</dcterms:created>
  <dc:creator>Fangda</dc:creator>
  <cp:lastModifiedBy>greatwall</cp:lastModifiedBy>
  <dcterms:modified xsi:type="dcterms:W3CDTF">2022-01-14T11:30:24Z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0x0101000DADD28517BE074D95A12975B5FBBC1A</vt:lpwstr>
  </property>
  <property fmtid="{D5CDD505-2E9C-101B-9397-08002B2CF9AE}" pid="3" name="KSOProductBuildVer">
    <vt:lpwstr>2052-11.8.2.9695</vt:lpwstr>
  </property>
</Properties>
</file>