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b/>
          <w:bCs/>
          <w:sz w:val="28"/>
          <w:szCs w:val="28"/>
        </w:rPr>
      </w:pPr>
      <w:r>
        <w:rPr>
          <w:rFonts w:ascii="Times New Roman" w:hAnsi="Times New Roman"/>
          <w:b/>
          <w:bCs/>
          <w:sz w:val="28"/>
          <w:szCs w:val="28"/>
        </w:rPr>
        <w:t>经营者集中简易案件公示表</w:t>
      </w:r>
    </w:p>
    <w:p>
      <w:pPr>
        <w:spacing w:line="440" w:lineRule="exact"/>
        <w:jc w:val="center"/>
        <w:rPr>
          <w:rFonts w:ascii="Times New Roman" w:hAnsi="Times New Roman"/>
          <w:sz w:val="28"/>
          <w:szCs w:val="28"/>
        </w:rPr>
      </w:pPr>
    </w:p>
    <w:tbl>
      <w:tblPr>
        <w:tblStyle w:val="9"/>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4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b/>
                <w:bCs/>
                <w:sz w:val="24"/>
                <w:szCs w:val="24"/>
              </w:rPr>
            </w:pPr>
            <w:r>
              <w:rPr>
                <w:rFonts w:ascii="Times New Roman" w:hAnsi="Times New Roman"/>
                <w:b/>
                <w:bCs/>
                <w:sz w:val="24"/>
                <w:szCs w:val="24"/>
              </w:rPr>
              <w:t>案件名称</w:t>
            </w:r>
          </w:p>
        </w:tc>
        <w:tc>
          <w:tcPr>
            <w:tcW w:w="6550" w:type="dxa"/>
            <w:gridSpan w:val="2"/>
            <w:shd w:val="clear" w:color="auto" w:fill="auto"/>
            <w:vAlign w:val="center"/>
          </w:tcPr>
          <w:p>
            <w:pPr>
              <w:spacing w:before="156" w:beforeLines="50" w:after="156" w:afterLines="50"/>
              <w:rPr>
                <w:rFonts w:ascii="Times New Roman" w:hAnsi="Times New Roman"/>
                <w:sz w:val="24"/>
                <w:szCs w:val="24"/>
              </w:rPr>
            </w:pPr>
            <w:r>
              <w:rPr>
                <w:rFonts w:ascii="Times New Roman" w:hAnsi="Times New Roman"/>
                <w:kern w:val="0"/>
                <w:sz w:val="24"/>
                <w:szCs w:val="24"/>
              </w:rPr>
              <w:t>阿布扎比国家石油公司与阿布扎比国家能源公司等经营者新设合营企业案</w:t>
            </w:r>
            <w:r>
              <w:rPr>
                <w:rFonts w:hint="eastAsia" w:ascii="Times New Roman" w:hAnsi="Times New Roman"/>
                <w:kern w:val="0"/>
                <w:sz w:val="24"/>
                <w:szCs w:val="24"/>
              </w:rPr>
              <w:t>（“</w:t>
            </w:r>
            <w:r>
              <w:rPr>
                <w:rFonts w:hint="eastAsia" w:ascii="Times New Roman" w:hAnsi="Times New Roman"/>
                <w:b/>
                <w:bCs/>
                <w:kern w:val="0"/>
                <w:sz w:val="24"/>
                <w:szCs w:val="24"/>
              </w:rPr>
              <w:t>拟议交易</w:t>
            </w:r>
            <w:r>
              <w:rPr>
                <w:rFonts w:hint="eastAsia" w:ascii="Times New Roman" w:hAnsi="Times New Roman"/>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Times New Roman" w:hAnsi="Times New Roman"/>
                <w:b/>
                <w:bCs/>
                <w:sz w:val="24"/>
                <w:szCs w:val="24"/>
              </w:rPr>
            </w:pPr>
            <w:r>
              <w:rPr>
                <w:rFonts w:ascii="Times New Roman" w:hAnsi="Times New Roman"/>
                <w:b/>
                <w:bCs/>
                <w:sz w:val="24"/>
                <w:szCs w:val="24"/>
              </w:rPr>
              <w:t>交易概况（限200字内）</w:t>
            </w:r>
          </w:p>
        </w:tc>
        <w:tc>
          <w:tcPr>
            <w:tcW w:w="6550" w:type="dxa"/>
            <w:gridSpan w:val="2"/>
          </w:tcPr>
          <w:p>
            <w:pPr>
              <w:tabs>
                <w:tab w:val="left" w:pos="651"/>
              </w:tabs>
              <w:spacing w:before="156" w:beforeLines="50" w:after="156" w:afterLines="50"/>
              <w:rPr>
                <w:rFonts w:ascii="Times New Roman" w:hAnsi="Times New Roman"/>
                <w:color w:val="000000"/>
                <w:sz w:val="24"/>
                <w:szCs w:val="24"/>
              </w:rPr>
            </w:pPr>
            <w:r>
              <w:rPr>
                <w:rFonts w:hint="eastAsia" w:ascii="Times New Roman" w:hAnsi="Times New Roman"/>
                <w:color w:val="000000"/>
                <w:sz w:val="24"/>
                <w:szCs w:val="24"/>
              </w:rPr>
              <w:t>拟议交易涉及阿布扎比国家石油公司（“</w:t>
            </w:r>
            <w:r>
              <w:rPr>
                <w:rFonts w:hint="eastAsia" w:ascii="Times New Roman" w:hAnsi="Times New Roman"/>
                <w:b/>
                <w:bCs/>
                <w:color w:val="000000"/>
                <w:sz w:val="24"/>
                <w:szCs w:val="24"/>
              </w:rPr>
              <w:t>阿布扎比石油</w:t>
            </w:r>
            <w:r>
              <w:rPr>
                <w:rFonts w:hint="eastAsia" w:ascii="Times New Roman" w:hAnsi="Times New Roman"/>
                <w:color w:val="000000"/>
                <w:sz w:val="24"/>
                <w:szCs w:val="24"/>
              </w:rPr>
              <w:t>”）、阿布扎比国家能源公司（“</w:t>
            </w:r>
            <w:r>
              <w:rPr>
                <w:rFonts w:hint="eastAsia" w:ascii="Times New Roman" w:hAnsi="Times New Roman"/>
                <w:b/>
                <w:bCs/>
                <w:color w:val="000000"/>
                <w:sz w:val="24"/>
                <w:szCs w:val="24"/>
              </w:rPr>
              <w:t>阿布扎比能源</w:t>
            </w:r>
            <w:r>
              <w:rPr>
                <w:rFonts w:hint="eastAsia" w:ascii="Times New Roman" w:hAnsi="Times New Roman"/>
                <w:color w:val="000000"/>
                <w:sz w:val="24"/>
                <w:szCs w:val="24"/>
              </w:rPr>
              <w:t>”）、韩国电力公社（“</w:t>
            </w:r>
            <w:r>
              <w:rPr>
                <w:rFonts w:hint="eastAsia" w:ascii="Times New Roman" w:hAnsi="Times New Roman"/>
                <w:b/>
                <w:bCs/>
                <w:color w:val="000000"/>
                <w:sz w:val="24"/>
                <w:szCs w:val="24"/>
              </w:rPr>
              <w:t>韩国电力</w:t>
            </w:r>
            <w:r>
              <w:rPr>
                <w:rFonts w:hint="eastAsia" w:ascii="Times New Roman" w:hAnsi="Times New Roman"/>
                <w:color w:val="000000"/>
                <w:sz w:val="24"/>
                <w:szCs w:val="24"/>
              </w:rPr>
              <w:t>”）、九州电力株式会社（“</w:t>
            </w:r>
            <w:r>
              <w:rPr>
                <w:rFonts w:hint="eastAsia" w:ascii="Times New Roman" w:hAnsi="Times New Roman"/>
                <w:b/>
                <w:bCs/>
                <w:color w:val="000000"/>
                <w:sz w:val="24"/>
                <w:szCs w:val="24"/>
              </w:rPr>
              <w:t>九州电力</w:t>
            </w:r>
            <w:r>
              <w:rPr>
                <w:rFonts w:hint="eastAsia" w:ascii="Times New Roman" w:hAnsi="Times New Roman"/>
                <w:color w:val="000000"/>
                <w:sz w:val="24"/>
                <w:szCs w:val="24"/>
              </w:rPr>
              <w:t>”）和法国电力集团（“</w:t>
            </w:r>
            <w:r>
              <w:rPr>
                <w:rFonts w:hint="eastAsia" w:ascii="Times New Roman" w:hAnsi="Times New Roman"/>
                <w:b/>
                <w:bCs/>
                <w:color w:val="000000"/>
                <w:sz w:val="24"/>
                <w:szCs w:val="24"/>
              </w:rPr>
              <w:t>法电集团</w:t>
            </w:r>
            <w:r>
              <w:rPr>
                <w:rFonts w:hint="eastAsia" w:ascii="Times New Roman" w:hAnsi="Times New Roman"/>
                <w:color w:val="000000"/>
                <w:sz w:val="24"/>
                <w:szCs w:val="24"/>
              </w:rPr>
              <w:t>”）共同设立一个新的合营企业。拟议交易完成后，阿布扎比石油、阿布扎比能源、韩国电力、九州电力和法电集团将共同控制合营企业。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809" w:type="dxa"/>
            <w:vMerge w:val="restart"/>
            <w:shd w:val="clear" w:color="auto" w:fill="D9D9D9"/>
          </w:tcPr>
          <w:p>
            <w:pPr>
              <w:spacing w:line="500" w:lineRule="exact"/>
              <w:rPr>
                <w:rFonts w:ascii="Times New Roman" w:hAnsi="Times New Roman"/>
                <w:b/>
                <w:bCs/>
                <w:sz w:val="24"/>
                <w:szCs w:val="24"/>
              </w:rPr>
            </w:pPr>
            <w:r>
              <w:rPr>
                <w:rFonts w:ascii="Times New Roman" w:hAnsi="Times New Roman"/>
                <w:b/>
                <w:bCs/>
                <w:sz w:val="24"/>
                <w:szCs w:val="24"/>
              </w:rPr>
              <w:t>参与集中的经营者简介</w:t>
            </w:r>
          </w:p>
        </w:tc>
        <w:tc>
          <w:tcPr>
            <w:tcW w:w="1796" w:type="dxa"/>
          </w:tcPr>
          <w:p>
            <w:pPr>
              <w:pStyle w:val="20"/>
              <w:numPr>
                <w:ilvl w:val="0"/>
                <w:numId w:val="1"/>
              </w:numPr>
              <w:spacing w:before="156" w:beforeLines="50" w:after="156" w:afterLines="50"/>
              <w:ind w:left="357" w:hanging="357" w:firstLineChars="0"/>
              <w:rPr>
                <w:rFonts w:ascii="Times New Roman" w:hAnsi="Times New Roman"/>
                <w:sz w:val="24"/>
                <w:szCs w:val="24"/>
              </w:rPr>
            </w:pPr>
            <w:r>
              <w:rPr>
                <w:rFonts w:hint="eastAsia" w:ascii="Times New Roman" w:hAnsi="Times New Roman"/>
                <w:sz w:val="24"/>
                <w:szCs w:val="24"/>
              </w:rPr>
              <w:t>阿布扎比石油</w:t>
            </w:r>
          </w:p>
        </w:tc>
        <w:tc>
          <w:tcPr>
            <w:tcW w:w="4754" w:type="dxa"/>
          </w:tcPr>
          <w:p>
            <w:pPr>
              <w:spacing w:before="156" w:beforeLines="50" w:after="156" w:afterLines="50"/>
              <w:rPr>
                <w:rFonts w:ascii="Times New Roman" w:hAnsi="Times New Roman"/>
                <w:sz w:val="24"/>
                <w:szCs w:val="24"/>
              </w:rPr>
            </w:pPr>
            <w:r>
              <w:rPr>
                <w:rFonts w:hint="eastAsia" w:ascii="Times New Roman" w:hAnsi="Times New Roman"/>
                <w:sz w:val="24"/>
                <w:szCs w:val="24"/>
              </w:rPr>
              <w:t>阿布扎比石油成立于1971年，其根据阿布扎比法律正式设立，由阿布扎比酋长国全资拥有。阿布扎比石油集团主要在石油和天然气领域开展业务活动。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Times New Roman" w:hAnsi="Times New Roman"/>
                <w:sz w:val="24"/>
                <w:szCs w:val="24"/>
              </w:rPr>
            </w:pPr>
          </w:p>
        </w:tc>
        <w:tc>
          <w:tcPr>
            <w:tcW w:w="1796" w:type="dxa"/>
          </w:tcPr>
          <w:p>
            <w:pPr>
              <w:pStyle w:val="20"/>
              <w:numPr>
                <w:ilvl w:val="0"/>
                <w:numId w:val="1"/>
              </w:numPr>
              <w:spacing w:before="156" w:beforeLines="50" w:after="156" w:afterLines="50"/>
              <w:ind w:firstLineChars="0"/>
              <w:rPr>
                <w:rFonts w:ascii="Times New Roman" w:hAnsi="Times New Roman"/>
                <w:sz w:val="24"/>
                <w:szCs w:val="24"/>
              </w:rPr>
            </w:pPr>
            <w:r>
              <w:rPr>
                <w:rFonts w:hint="eastAsia" w:ascii="Times New Roman" w:hAnsi="Times New Roman"/>
                <w:sz w:val="24"/>
                <w:szCs w:val="24"/>
              </w:rPr>
              <w:t>阿布扎比能源</w:t>
            </w:r>
          </w:p>
        </w:tc>
        <w:tc>
          <w:tcPr>
            <w:tcW w:w="4754" w:type="dxa"/>
          </w:tcPr>
          <w:p>
            <w:pPr>
              <w:spacing w:before="156" w:beforeLines="50" w:after="156" w:afterLines="50"/>
              <w:rPr>
                <w:rFonts w:ascii="Times New Roman" w:hAnsi="Times New Roman"/>
                <w:color w:val="000000"/>
                <w:sz w:val="24"/>
                <w:szCs w:val="24"/>
              </w:rPr>
            </w:pPr>
            <w:r>
              <w:rPr>
                <w:rFonts w:hint="eastAsia" w:ascii="Times New Roman" w:hAnsi="Times New Roman"/>
                <w:color w:val="000000"/>
                <w:sz w:val="24"/>
                <w:szCs w:val="24"/>
              </w:rPr>
              <w:t>阿布扎比能源成立于2005年6月21日，总部设在阿布扎比。其持有发电和供水、输电和配电资产，以及上游和中游的石油和天然气业务。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Times New Roman" w:hAnsi="Times New Roman"/>
                <w:sz w:val="24"/>
                <w:szCs w:val="24"/>
              </w:rPr>
            </w:pPr>
          </w:p>
        </w:tc>
        <w:tc>
          <w:tcPr>
            <w:tcW w:w="1796" w:type="dxa"/>
          </w:tcPr>
          <w:p>
            <w:pPr>
              <w:pStyle w:val="20"/>
              <w:numPr>
                <w:ilvl w:val="0"/>
                <w:numId w:val="1"/>
              </w:numPr>
              <w:spacing w:before="156" w:beforeLines="50" w:after="156" w:afterLines="50"/>
              <w:ind w:firstLineChars="0"/>
              <w:rPr>
                <w:rFonts w:ascii="Times New Roman" w:hAnsi="Times New Roman"/>
                <w:sz w:val="24"/>
                <w:szCs w:val="24"/>
              </w:rPr>
            </w:pPr>
            <w:r>
              <w:rPr>
                <w:rFonts w:hint="eastAsia" w:ascii="Times New Roman" w:hAnsi="Times New Roman"/>
                <w:sz w:val="24"/>
                <w:szCs w:val="24"/>
              </w:rPr>
              <w:t>韩国电力</w:t>
            </w:r>
          </w:p>
        </w:tc>
        <w:tc>
          <w:tcPr>
            <w:tcW w:w="4754" w:type="dxa"/>
          </w:tcPr>
          <w:p>
            <w:pPr>
              <w:spacing w:before="156" w:beforeLines="50" w:after="156" w:afterLines="50"/>
              <w:rPr>
                <w:rFonts w:ascii="Times New Roman" w:hAnsi="Times New Roman"/>
                <w:color w:val="000000"/>
                <w:sz w:val="24"/>
                <w:szCs w:val="24"/>
              </w:rPr>
            </w:pPr>
            <w:r>
              <w:rPr>
                <w:rFonts w:hint="eastAsia" w:ascii="Times New Roman" w:hAnsi="Times New Roman"/>
                <w:color w:val="000000"/>
                <w:sz w:val="24"/>
                <w:szCs w:val="24"/>
              </w:rPr>
              <w:t>韩国电力根据《韩国电力公司法》成立于1982年，旨在促进电力资源的发展，为韩国国民经济的发展作出贡献。韩国电力的业务包括开发电力资源；发电、输电、变电和配电；以及与电力有关的营销、研究、技术开发、海外业务、投资、企业社会责任和财产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Times New Roman" w:hAnsi="Times New Roman"/>
                <w:sz w:val="24"/>
                <w:szCs w:val="24"/>
              </w:rPr>
            </w:pPr>
          </w:p>
        </w:tc>
        <w:tc>
          <w:tcPr>
            <w:tcW w:w="1796" w:type="dxa"/>
          </w:tcPr>
          <w:p>
            <w:pPr>
              <w:pStyle w:val="20"/>
              <w:numPr>
                <w:ilvl w:val="0"/>
                <w:numId w:val="1"/>
              </w:numPr>
              <w:spacing w:before="156" w:beforeLines="50" w:after="156" w:afterLines="50"/>
              <w:ind w:firstLineChars="0"/>
              <w:rPr>
                <w:rFonts w:ascii="Times New Roman" w:hAnsi="Times New Roman"/>
                <w:sz w:val="24"/>
                <w:szCs w:val="24"/>
              </w:rPr>
            </w:pPr>
            <w:r>
              <w:rPr>
                <w:rFonts w:hint="eastAsia" w:ascii="Times New Roman" w:hAnsi="Times New Roman"/>
                <w:sz w:val="24"/>
                <w:szCs w:val="24"/>
              </w:rPr>
              <w:t>九州电力</w:t>
            </w:r>
          </w:p>
        </w:tc>
        <w:tc>
          <w:tcPr>
            <w:tcW w:w="4754" w:type="dxa"/>
          </w:tcPr>
          <w:p>
            <w:pPr>
              <w:spacing w:before="156" w:beforeLines="50" w:after="156" w:afterLines="50"/>
              <w:rPr>
                <w:rFonts w:ascii="Times New Roman" w:hAnsi="Times New Roman"/>
                <w:color w:val="000000"/>
                <w:sz w:val="24"/>
                <w:szCs w:val="24"/>
              </w:rPr>
            </w:pPr>
            <w:r>
              <w:rPr>
                <w:rFonts w:hint="eastAsia" w:ascii="Times New Roman" w:hAnsi="Times New Roman"/>
                <w:color w:val="000000"/>
                <w:sz w:val="24"/>
                <w:szCs w:val="24"/>
              </w:rPr>
              <w:t>九州电力于1951年在日本成立。</w:t>
            </w:r>
            <w:r>
              <w:rPr>
                <w:rFonts w:hint="eastAsia" w:ascii="Times New Roman" w:hAnsi="Times New Roman"/>
                <w:color w:val="000000"/>
                <w:sz w:val="24"/>
                <w:szCs w:val="24"/>
                <w:lang w:eastAsia="zh-CN"/>
              </w:rPr>
              <w:t>主要</w:t>
            </w:r>
            <w:r>
              <w:rPr>
                <w:rFonts w:hint="eastAsia" w:ascii="Times New Roman" w:hAnsi="Times New Roman"/>
                <w:color w:val="000000"/>
                <w:sz w:val="24"/>
                <w:szCs w:val="24"/>
              </w:rPr>
              <w:t>在日本和</w:t>
            </w:r>
            <w:r>
              <w:rPr>
                <w:rFonts w:hint="eastAsia" w:ascii="Times New Roman" w:hAnsi="Times New Roman"/>
                <w:color w:val="000000"/>
                <w:sz w:val="24"/>
                <w:szCs w:val="24"/>
                <w:lang w:eastAsia="zh-CN"/>
              </w:rPr>
              <w:t>全球</w:t>
            </w:r>
            <w:r>
              <w:rPr>
                <w:rFonts w:hint="eastAsia" w:ascii="Times New Roman" w:hAnsi="Times New Roman"/>
                <w:color w:val="000000"/>
                <w:sz w:val="24"/>
                <w:szCs w:val="24"/>
              </w:rPr>
              <w:t>范围从事发电、输电和配电业务。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Times New Roman" w:hAnsi="Times New Roman"/>
                <w:sz w:val="24"/>
                <w:szCs w:val="24"/>
              </w:rPr>
            </w:pPr>
          </w:p>
        </w:tc>
        <w:tc>
          <w:tcPr>
            <w:tcW w:w="1796" w:type="dxa"/>
          </w:tcPr>
          <w:p>
            <w:pPr>
              <w:pStyle w:val="20"/>
              <w:numPr>
                <w:ilvl w:val="0"/>
                <w:numId w:val="1"/>
              </w:numPr>
              <w:spacing w:before="156" w:beforeLines="50" w:after="156" w:afterLines="50"/>
              <w:ind w:firstLineChars="0"/>
              <w:rPr>
                <w:rFonts w:ascii="Times New Roman" w:hAnsi="Times New Roman"/>
                <w:sz w:val="24"/>
                <w:szCs w:val="24"/>
              </w:rPr>
            </w:pPr>
            <w:r>
              <w:rPr>
                <w:rFonts w:hint="eastAsia" w:ascii="Times New Roman" w:hAnsi="Times New Roman"/>
                <w:sz w:val="24"/>
                <w:szCs w:val="24"/>
              </w:rPr>
              <w:t>法电集团</w:t>
            </w:r>
          </w:p>
        </w:tc>
        <w:tc>
          <w:tcPr>
            <w:tcW w:w="4754" w:type="dxa"/>
          </w:tcPr>
          <w:p>
            <w:pPr>
              <w:spacing w:before="156" w:beforeLines="50" w:after="156" w:afterLines="50"/>
              <w:rPr>
                <w:rFonts w:ascii="Times New Roman" w:hAnsi="Times New Roman"/>
                <w:color w:val="000000"/>
                <w:sz w:val="24"/>
                <w:szCs w:val="24"/>
              </w:rPr>
            </w:pPr>
            <w:r>
              <w:rPr>
                <w:rFonts w:hint="eastAsia" w:ascii="Times New Roman" w:hAnsi="Times New Roman"/>
                <w:color w:val="000000"/>
                <w:sz w:val="24"/>
                <w:szCs w:val="24"/>
              </w:rPr>
              <w:t>法电集团成立</w:t>
            </w:r>
            <w:bookmarkStart w:id="0" w:name="_GoBack"/>
            <w:bookmarkEnd w:id="0"/>
            <w:r>
              <w:rPr>
                <w:rFonts w:hint="eastAsia" w:ascii="Times New Roman" w:hAnsi="Times New Roman"/>
                <w:color w:val="000000"/>
                <w:sz w:val="24"/>
                <w:szCs w:val="24"/>
              </w:rPr>
              <w:t>于1955年，是一家法国公用事业公司，主要由法国政府拥有。其业务活动涵盖发电和批发、输电、配电和终端客户供应等领域。法电集团在中国拥有几家核电站和火力发电站。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b/>
                <w:bCs/>
                <w:sz w:val="24"/>
                <w:szCs w:val="24"/>
              </w:rPr>
            </w:pPr>
            <w:r>
              <w:rPr>
                <w:rFonts w:ascii="Times New Roman" w:hAnsi="Times New Roman"/>
                <w:b/>
                <w:bCs/>
                <w:sz w:val="24"/>
                <w:szCs w:val="24"/>
              </w:rPr>
              <w:t>简易案件理由（可以单选，也可以多选）</w:t>
            </w: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A8"/>
            </w:r>
            <w:r>
              <w:rPr>
                <w:rFonts w:ascii="Times New Roman" w:hAnsi="Times New Roman"/>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sz w:val="24"/>
                <w:szCs w:val="24"/>
              </w:rPr>
            </w:pP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A8"/>
            </w:r>
            <w:r>
              <w:rPr>
                <w:rFonts w:ascii="Times New Roman" w:hAnsi="Times New Roman" w:cs="Arial"/>
                <w:sz w:val="24"/>
                <w:szCs w:val="24"/>
                <w:lang w:val="en-GB"/>
              </w:rPr>
              <w:t xml:space="preserve"> </w:t>
            </w:r>
            <w:r>
              <w:rPr>
                <w:rFonts w:ascii="Times New Roman" w:hAnsi="Times New Roman"/>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sz w:val="24"/>
                <w:szCs w:val="24"/>
              </w:rPr>
            </w:pP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A8"/>
            </w:r>
            <w:r>
              <w:rPr>
                <w:rFonts w:ascii="Times New Roman" w:hAnsi="Times New Roman"/>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sz w:val="24"/>
                <w:szCs w:val="24"/>
              </w:rPr>
            </w:pP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FE"/>
            </w:r>
            <w:r>
              <w:rPr>
                <w:rFonts w:ascii="Times New Roman" w:hAnsi="Times New Roman"/>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sz w:val="24"/>
                <w:szCs w:val="24"/>
              </w:rPr>
            </w:pP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A8"/>
            </w:r>
            <w:r>
              <w:rPr>
                <w:rFonts w:ascii="Times New Roman" w:hAnsi="Times New Roman"/>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sz w:val="24"/>
                <w:szCs w:val="24"/>
              </w:rPr>
            </w:pPr>
          </w:p>
        </w:tc>
        <w:tc>
          <w:tcPr>
            <w:tcW w:w="6550" w:type="dxa"/>
            <w:gridSpan w:val="2"/>
          </w:tcPr>
          <w:p>
            <w:pPr>
              <w:spacing w:line="500" w:lineRule="exact"/>
              <w:rPr>
                <w:rFonts w:ascii="Times New Roman" w:hAnsi="Times New Roman"/>
                <w:sz w:val="24"/>
                <w:szCs w:val="24"/>
              </w:rPr>
            </w:pPr>
            <w:r>
              <w:rPr>
                <w:rFonts w:ascii="Times New Roman" w:hAnsi="Times New Roman" w:cs="Arial"/>
                <w:sz w:val="24"/>
                <w:szCs w:val="24"/>
                <w:lang w:val="en-GB"/>
              </w:rPr>
              <w:sym w:font="Wingdings" w:char="F0A8"/>
            </w:r>
            <w:r>
              <w:rPr>
                <w:rFonts w:ascii="Times New Roman" w:hAnsi="Times New Roman"/>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0" w:hRule="atLeast"/>
        </w:trPr>
        <w:tc>
          <w:tcPr>
            <w:tcW w:w="1809" w:type="dxa"/>
            <w:shd w:val="clear" w:color="auto" w:fill="D9D9D9"/>
          </w:tcPr>
          <w:p>
            <w:pPr>
              <w:spacing w:line="500" w:lineRule="exact"/>
              <w:rPr>
                <w:rFonts w:ascii="Times New Roman" w:hAnsi="Times New Roman"/>
                <w:b/>
                <w:bCs/>
                <w:sz w:val="24"/>
                <w:szCs w:val="24"/>
              </w:rPr>
            </w:pPr>
            <w:r>
              <w:rPr>
                <w:rFonts w:ascii="Times New Roman" w:hAnsi="Times New Roman"/>
                <w:b/>
                <w:bCs/>
                <w:sz w:val="24"/>
                <w:szCs w:val="24"/>
              </w:rPr>
              <w:t>备注</w:t>
            </w:r>
          </w:p>
        </w:tc>
        <w:tc>
          <w:tcPr>
            <w:tcW w:w="6550" w:type="dxa"/>
            <w:gridSpan w:val="2"/>
          </w:tcPr>
          <w:p>
            <w:pPr>
              <w:spacing w:before="156" w:beforeLines="50" w:after="156" w:afterLines="50"/>
              <w:rPr>
                <w:rFonts w:ascii="Times New Roman" w:hAnsi="Times New Roman"/>
                <w:sz w:val="24"/>
                <w:szCs w:val="24"/>
              </w:rPr>
            </w:pPr>
            <w:r>
              <w:rPr>
                <w:rFonts w:hint="eastAsia" w:ascii="Times New Roman" w:hAnsi="Times New Roman"/>
                <w:sz w:val="24"/>
                <w:szCs w:val="24"/>
              </w:rPr>
              <w:t>不适用</w:t>
            </w:r>
          </w:p>
        </w:tc>
      </w:tr>
    </w:tbl>
    <w:p>
      <w:pPr>
        <w:snapToGrid w:val="0"/>
        <w:spacing w:line="240" w:lineRule="exact"/>
        <w:jc w:val="left"/>
        <w:rPr>
          <w:rFonts w:ascii="Times New Roman" w:hAnsi="Times New Roman"/>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PMingLiU">
    <w:altName w:val="Droid Sans Fallback"/>
    <w:panose1 w:val="02010601000101010101"/>
    <w:charset w:val="88"/>
    <w:family w:val="roman"/>
    <w:pitch w:val="default"/>
    <w:sig w:usb0="00000000" w:usb1="00000000" w:usb2="00000016" w:usb3="00000000" w:csb0="0010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9376438"/>
      <w:docPartObj>
        <w:docPartGallery w:val="autotext"/>
      </w:docPartObj>
    </w:sdtPr>
    <w:sdtEndPr>
      <w:rPr>
        <w:rFonts w:ascii="Times New Roman" w:hAnsi="Times New Roman"/>
      </w:rPr>
    </w:sdtEndPr>
    <w:sdtContent>
      <w:sdt>
        <w:sdtPr>
          <w:id w:val="1728636285"/>
          <w:docPartObj>
            <w:docPartGallery w:val="autotext"/>
          </w:docPartObj>
        </w:sdtPr>
        <w:sdtEndPr>
          <w:rPr>
            <w:rFonts w:ascii="Times New Roman" w:hAnsi="Times New Roman"/>
          </w:rPr>
        </w:sdtEndPr>
        <w:sdtContent>
          <w:p>
            <w:pPr>
              <w:pStyle w:val="5"/>
              <w:jc w:val="center"/>
              <w:rPr>
                <w:rFonts w:ascii="Times New Roman" w:hAnsi="Times New Roman"/>
              </w:rPr>
            </w:pPr>
            <w:r>
              <w:rPr>
                <w:rFonts w:ascii="Times New Roman" w:hAnsi="Times New Roman"/>
                <w:lang w:val="zh-CN"/>
              </w:rPr>
              <w:t xml:space="preserve"> </w:t>
            </w:r>
            <w:r>
              <w:rPr>
                <w:rFonts w:ascii="Times New Roman" w:hAnsi="Times New Roman"/>
                <w:b/>
                <w:bCs/>
                <w:sz w:val="24"/>
                <w:szCs w:val="24"/>
              </w:rPr>
              <w:fldChar w:fldCharType="begin"/>
            </w:r>
            <w:r>
              <w:rPr>
                <w:rFonts w:ascii="Times New Roman" w:hAnsi="Times New Roman"/>
                <w:b/>
                <w:bCs/>
              </w:rPr>
              <w:instrText xml:space="preserve">PAGE</w:instrText>
            </w:r>
            <w:r>
              <w:rPr>
                <w:rFonts w:ascii="Times New Roman" w:hAnsi="Times New Roman"/>
                <w:b/>
                <w:bCs/>
                <w:sz w:val="24"/>
                <w:szCs w:val="24"/>
              </w:rPr>
              <w:fldChar w:fldCharType="separate"/>
            </w:r>
            <w:r>
              <w:rPr>
                <w:rFonts w:ascii="Times New Roman" w:hAnsi="Times New Roman"/>
                <w:b/>
                <w:bCs/>
              </w:rPr>
              <w:t>1</w:t>
            </w:r>
            <w:r>
              <w:rPr>
                <w:rFonts w:ascii="Times New Roman" w:hAnsi="Times New Roman"/>
                <w:b/>
                <w:bCs/>
                <w:sz w:val="24"/>
                <w:szCs w:val="24"/>
              </w:rPr>
              <w:fldChar w:fldCharType="end"/>
            </w:r>
            <w:r>
              <w:rPr>
                <w:rFonts w:ascii="Times New Roman" w:hAnsi="Times New Roman"/>
                <w:lang w:val="zh-CN"/>
              </w:rPr>
              <w:t xml:space="preserve"> / </w:t>
            </w:r>
            <w:r>
              <w:rPr>
                <w:rFonts w:ascii="Times New Roman" w:hAnsi="Times New Roman"/>
                <w:b/>
                <w:bCs/>
                <w:sz w:val="24"/>
                <w:szCs w:val="24"/>
              </w:rPr>
              <w:fldChar w:fldCharType="begin"/>
            </w:r>
            <w:r>
              <w:rPr>
                <w:rFonts w:ascii="Times New Roman" w:hAnsi="Times New Roman"/>
                <w:b/>
                <w:bCs/>
              </w:rPr>
              <w:instrText xml:space="preserve">NUMPAGES</w:instrText>
            </w:r>
            <w:r>
              <w:rPr>
                <w:rFonts w:ascii="Times New Roman" w:hAnsi="Times New Roman"/>
                <w:b/>
                <w:bCs/>
                <w:sz w:val="24"/>
                <w:szCs w:val="24"/>
              </w:rPr>
              <w:fldChar w:fldCharType="separate"/>
            </w:r>
            <w:r>
              <w:rPr>
                <w:rFonts w:ascii="Times New Roman" w:hAnsi="Times New Roman"/>
                <w:b/>
                <w:bCs/>
              </w:rPr>
              <w:t>2</w:t>
            </w:r>
            <w:r>
              <w:rPr>
                <w:rFonts w:ascii="Times New Roman" w:hAnsi="Times New Roman"/>
                <w:b/>
                <w:bCs/>
                <w:sz w:val="24"/>
                <w:szCs w:val="24"/>
              </w:rPr>
              <w:fldChar w:fldCharType="end"/>
            </w:r>
          </w:p>
        </w:sdtContent>
      </w:sdt>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6A4903"/>
    <w:multiLevelType w:val="multilevel"/>
    <w:tmpl w:val="1C6A49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true"/>
  <w:bordersDoNotSurroundFooter w:val="true"/>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36A9D"/>
    <w:rsid w:val="00037213"/>
    <w:rsid w:val="00045507"/>
    <w:rsid w:val="0005594E"/>
    <w:rsid w:val="00060052"/>
    <w:rsid w:val="0007651B"/>
    <w:rsid w:val="00082738"/>
    <w:rsid w:val="00087D30"/>
    <w:rsid w:val="00091646"/>
    <w:rsid w:val="000917F0"/>
    <w:rsid w:val="00094095"/>
    <w:rsid w:val="000A3CA7"/>
    <w:rsid w:val="000B0EC8"/>
    <w:rsid w:val="000C5BC7"/>
    <w:rsid w:val="000E7FC9"/>
    <w:rsid w:val="00100B60"/>
    <w:rsid w:val="00113543"/>
    <w:rsid w:val="00117B9E"/>
    <w:rsid w:val="00137BCF"/>
    <w:rsid w:val="001417D8"/>
    <w:rsid w:val="0015166A"/>
    <w:rsid w:val="00165964"/>
    <w:rsid w:val="001913F9"/>
    <w:rsid w:val="00192C2C"/>
    <w:rsid w:val="00193065"/>
    <w:rsid w:val="001A6CB8"/>
    <w:rsid w:val="001B7B5C"/>
    <w:rsid w:val="001C1B23"/>
    <w:rsid w:val="001E393B"/>
    <w:rsid w:val="0020313A"/>
    <w:rsid w:val="002128F6"/>
    <w:rsid w:val="002158DC"/>
    <w:rsid w:val="00233AB0"/>
    <w:rsid w:val="00245776"/>
    <w:rsid w:val="00262658"/>
    <w:rsid w:val="00266A6B"/>
    <w:rsid w:val="00287B2F"/>
    <w:rsid w:val="0029252D"/>
    <w:rsid w:val="002E2C9F"/>
    <w:rsid w:val="002E720A"/>
    <w:rsid w:val="002F2D60"/>
    <w:rsid w:val="00302FE1"/>
    <w:rsid w:val="003048E8"/>
    <w:rsid w:val="003061D7"/>
    <w:rsid w:val="00307976"/>
    <w:rsid w:val="0031093F"/>
    <w:rsid w:val="003145BC"/>
    <w:rsid w:val="00316B15"/>
    <w:rsid w:val="0032355A"/>
    <w:rsid w:val="003C306B"/>
    <w:rsid w:val="003C75D7"/>
    <w:rsid w:val="003D3128"/>
    <w:rsid w:val="003D60DB"/>
    <w:rsid w:val="003E6E92"/>
    <w:rsid w:val="003F170C"/>
    <w:rsid w:val="004030E1"/>
    <w:rsid w:val="00427074"/>
    <w:rsid w:val="00445F6B"/>
    <w:rsid w:val="00462174"/>
    <w:rsid w:val="00490013"/>
    <w:rsid w:val="00497E7B"/>
    <w:rsid w:val="004B00C8"/>
    <w:rsid w:val="004B3A56"/>
    <w:rsid w:val="004C2586"/>
    <w:rsid w:val="00507D9C"/>
    <w:rsid w:val="00525467"/>
    <w:rsid w:val="00527F6A"/>
    <w:rsid w:val="00557102"/>
    <w:rsid w:val="00563A4C"/>
    <w:rsid w:val="00566CC7"/>
    <w:rsid w:val="00574B4E"/>
    <w:rsid w:val="00574F2D"/>
    <w:rsid w:val="0058057F"/>
    <w:rsid w:val="005830FE"/>
    <w:rsid w:val="005B533D"/>
    <w:rsid w:val="005C3D32"/>
    <w:rsid w:val="005D087D"/>
    <w:rsid w:val="005D1309"/>
    <w:rsid w:val="005D1B7F"/>
    <w:rsid w:val="005E5B91"/>
    <w:rsid w:val="005F167B"/>
    <w:rsid w:val="005F5FFA"/>
    <w:rsid w:val="006113D3"/>
    <w:rsid w:val="00616F24"/>
    <w:rsid w:val="006300C0"/>
    <w:rsid w:val="006408AB"/>
    <w:rsid w:val="00641335"/>
    <w:rsid w:val="006447F2"/>
    <w:rsid w:val="00644C5B"/>
    <w:rsid w:val="00645D6F"/>
    <w:rsid w:val="006670A5"/>
    <w:rsid w:val="0067330C"/>
    <w:rsid w:val="00675286"/>
    <w:rsid w:val="00692DA5"/>
    <w:rsid w:val="006A4D58"/>
    <w:rsid w:val="006A4F76"/>
    <w:rsid w:val="006A5728"/>
    <w:rsid w:val="006B49BF"/>
    <w:rsid w:val="006D0734"/>
    <w:rsid w:val="006D6449"/>
    <w:rsid w:val="006E4C68"/>
    <w:rsid w:val="00720227"/>
    <w:rsid w:val="00720679"/>
    <w:rsid w:val="00734239"/>
    <w:rsid w:val="007364E2"/>
    <w:rsid w:val="0074345E"/>
    <w:rsid w:val="0074694B"/>
    <w:rsid w:val="007543A3"/>
    <w:rsid w:val="00785C5F"/>
    <w:rsid w:val="007A0249"/>
    <w:rsid w:val="007C000E"/>
    <w:rsid w:val="007C7803"/>
    <w:rsid w:val="008010AD"/>
    <w:rsid w:val="0080386C"/>
    <w:rsid w:val="008110BD"/>
    <w:rsid w:val="008354FF"/>
    <w:rsid w:val="0084303C"/>
    <w:rsid w:val="0084728A"/>
    <w:rsid w:val="008736FC"/>
    <w:rsid w:val="008750C5"/>
    <w:rsid w:val="008764AD"/>
    <w:rsid w:val="00877D76"/>
    <w:rsid w:val="00885D99"/>
    <w:rsid w:val="008926BD"/>
    <w:rsid w:val="0089745C"/>
    <w:rsid w:val="008A7ED7"/>
    <w:rsid w:val="008C10CC"/>
    <w:rsid w:val="008E44E6"/>
    <w:rsid w:val="008E5AC1"/>
    <w:rsid w:val="008F18B2"/>
    <w:rsid w:val="008F634B"/>
    <w:rsid w:val="00900557"/>
    <w:rsid w:val="009134D0"/>
    <w:rsid w:val="0093344B"/>
    <w:rsid w:val="0095347A"/>
    <w:rsid w:val="009733B4"/>
    <w:rsid w:val="0097529A"/>
    <w:rsid w:val="00997099"/>
    <w:rsid w:val="009A7BF2"/>
    <w:rsid w:val="009B22D1"/>
    <w:rsid w:val="009B4532"/>
    <w:rsid w:val="009B5555"/>
    <w:rsid w:val="009C1D9D"/>
    <w:rsid w:val="009C5ACB"/>
    <w:rsid w:val="009E544B"/>
    <w:rsid w:val="009F7FE9"/>
    <w:rsid w:val="00A042B2"/>
    <w:rsid w:val="00A43A3E"/>
    <w:rsid w:val="00A5338A"/>
    <w:rsid w:val="00A67610"/>
    <w:rsid w:val="00A73519"/>
    <w:rsid w:val="00A73EC0"/>
    <w:rsid w:val="00A77BD3"/>
    <w:rsid w:val="00AA1A78"/>
    <w:rsid w:val="00AB1BC4"/>
    <w:rsid w:val="00AD646B"/>
    <w:rsid w:val="00AE4C10"/>
    <w:rsid w:val="00AF0BB8"/>
    <w:rsid w:val="00B01090"/>
    <w:rsid w:val="00B10BBA"/>
    <w:rsid w:val="00B34D88"/>
    <w:rsid w:val="00B357DC"/>
    <w:rsid w:val="00B60E5E"/>
    <w:rsid w:val="00B8768F"/>
    <w:rsid w:val="00BA0750"/>
    <w:rsid w:val="00BA16D2"/>
    <w:rsid w:val="00BA4F7F"/>
    <w:rsid w:val="00BA6F07"/>
    <w:rsid w:val="00BA7437"/>
    <w:rsid w:val="00BB2377"/>
    <w:rsid w:val="00BB3798"/>
    <w:rsid w:val="00BB4C43"/>
    <w:rsid w:val="00BC44C2"/>
    <w:rsid w:val="00BC6BEF"/>
    <w:rsid w:val="00BC768A"/>
    <w:rsid w:val="00BD3D34"/>
    <w:rsid w:val="00BD6EBE"/>
    <w:rsid w:val="00BF0D84"/>
    <w:rsid w:val="00BF6C60"/>
    <w:rsid w:val="00BF7F17"/>
    <w:rsid w:val="00C068D5"/>
    <w:rsid w:val="00C20325"/>
    <w:rsid w:val="00C30030"/>
    <w:rsid w:val="00C318CE"/>
    <w:rsid w:val="00C52346"/>
    <w:rsid w:val="00C75B25"/>
    <w:rsid w:val="00C76979"/>
    <w:rsid w:val="00C76F0E"/>
    <w:rsid w:val="00C8184D"/>
    <w:rsid w:val="00C84314"/>
    <w:rsid w:val="00C9068E"/>
    <w:rsid w:val="00CD148B"/>
    <w:rsid w:val="00CD25EE"/>
    <w:rsid w:val="00CD2BEC"/>
    <w:rsid w:val="00D001A9"/>
    <w:rsid w:val="00D11610"/>
    <w:rsid w:val="00D21777"/>
    <w:rsid w:val="00D2453A"/>
    <w:rsid w:val="00D370A7"/>
    <w:rsid w:val="00D451A4"/>
    <w:rsid w:val="00D515E7"/>
    <w:rsid w:val="00D73A38"/>
    <w:rsid w:val="00DA3B19"/>
    <w:rsid w:val="00DA7701"/>
    <w:rsid w:val="00DC70AB"/>
    <w:rsid w:val="00DD1C7B"/>
    <w:rsid w:val="00DE39D7"/>
    <w:rsid w:val="00DE7DBD"/>
    <w:rsid w:val="00DF4BCE"/>
    <w:rsid w:val="00DF5BA0"/>
    <w:rsid w:val="00E11C0D"/>
    <w:rsid w:val="00E1347C"/>
    <w:rsid w:val="00E21F07"/>
    <w:rsid w:val="00E25016"/>
    <w:rsid w:val="00E32A0C"/>
    <w:rsid w:val="00E34BA1"/>
    <w:rsid w:val="00E54B29"/>
    <w:rsid w:val="00E85DDF"/>
    <w:rsid w:val="00EB0EE6"/>
    <w:rsid w:val="00EC669A"/>
    <w:rsid w:val="00ED21B1"/>
    <w:rsid w:val="00ED366C"/>
    <w:rsid w:val="00ED4254"/>
    <w:rsid w:val="00EE2784"/>
    <w:rsid w:val="00EE4AF0"/>
    <w:rsid w:val="00F16269"/>
    <w:rsid w:val="00F234B2"/>
    <w:rsid w:val="00F26A0F"/>
    <w:rsid w:val="00F418F4"/>
    <w:rsid w:val="00F41E5F"/>
    <w:rsid w:val="00F42BAC"/>
    <w:rsid w:val="00F5086B"/>
    <w:rsid w:val="00F87C1F"/>
    <w:rsid w:val="00FD4A2C"/>
    <w:rsid w:val="00FE3C66"/>
    <w:rsid w:val="00FE4CAC"/>
    <w:rsid w:val="00FF2D6D"/>
    <w:rsid w:val="3FF3C01A"/>
    <w:rsid w:val="7FEF5ED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pPr>
      <w:jc w:val="left"/>
    </w:pPr>
  </w:style>
  <w:style w:type="paragraph" w:styleId="3">
    <w:name w:val="endnote text"/>
    <w:basedOn w:val="1"/>
    <w:link w:val="15"/>
    <w:semiHidden/>
    <w:unhideWhenUsed/>
    <w:qFormat/>
    <w:uiPriority w:val="99"/>
    <w:pPr>
      <w:snapToGrid w:val="0"/>
      <w:jc w:val="left"/>
    </w:pPr>
  </w:style>
  <w:style w:type="paragraph" w:styleId="4">
    <w:name w:val="Balloon Text"/>
    <w:basedOn w:val="1"/>
    <w:link w:val="18"/>
    <w:semiHidden/>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1"/>
    <w:semiHidden/>
    <w:qFormat/>
    <w:uiPriority w:val="99"/>
    <w:pPr>
      <w:snapToGrid w:val="0"/>
      <w:jc w:val="left"/>
    </w:pPr>
    <w:rPr>
      <w:rFonts w:ascii="Times New Roman" w:hAnsi="Times New Roman" w:eastAsia="PMingLiU"/>
      <w:sz w:val="20"/>
      <w:szCs w:val="20"/>
      <w:lang w:eastAsia="zh-TW"/>
    </w:rPr>
  </w:style>
  <w:style w:type="paragraph" w:styleId="8">
    <w:name w:val="annotation subject"/>
    <w:basedOn w:val="2"/>
    <w:next w:val="2"/>
    <w:link w:val="23"/>
    <w:semiHidden/>
    <w:unhideWhenUsed/>
    <w:qFormat/>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semiHidden/>
    <w:unhideWhenUsed/>
    <w:qFormat/>
    <w:uiPriority w:val="99"/>
    <w:rPr>
      <w:vertAlign w:val="superscript"/>
    </w:rPr>
  </w:style>
  <w:style w:type="character" w:styleId="13">
    <w:name w:val="annotation reference"/>
    <w:basedOn w:val="11"/>
    <w:unhideWhenUsed/>
    <w:qFormat/>
    <w:uiPriority w:val="0"/>
    <w:rPr>
      <w:sz w:val="21"/>
      <w:szCs w:val="21"/>
    </w:rPr>
  </w:style>
  <w:style w:type="character" w:styleId="14">
    <w:name w:val="footnote reference"/>
    <w:semiHidden/>
    <w:unhideWhenUsed/>
    <w:qFormat/>
    <w:uiPriority w:val="99"/>
    <w:rPr>
      <w:vertAlign w:val="superscript"/>
    </w:rPr>
  </w:style>
  <w:style w:type="character" w:customStyle="1" w:styleId="15">
    <w:name w:val="尾注文本 字符"/>
    <w:basedOn w:val="11"/>
    <w:link w:val="3"/>
    <w:semiHidden/>
    <w:qFormat/>
    <w:uiPriority w:val="99"/>
  </w:style>
  <w:style w:type="character" w:customStyle="1" w:styleId="16">
    <w:name w:val="页眉 字符"/>
    <w:link w:val="6"/>
    <w:qFormat/>
    <w:uiPriority w:val="99"/>
    <w:rPr>
      <w:sz w:val="18"/>
      <w:szCs w:val="18"/>
    </w:rPr>
  </w:style>
  <w:style w:type="character" w:customStyle="1" w:styleId="17">
    <w:name w:val="页脚 字符"/>
    <w:link w:val="5"/>
    <w:qFormat/>
    <w:uiPriority w:val="99"/>
    <w:rPr>
      <w:sz w:val="18"/>
      <w:szCs w:val="18"/>
    </w:rPr>
  </w:style>
  <w:style w:type="character" w:customStyle="1" w:styleId="18">
    <w:name w:val="批注框文本 字符"/>
    <w:link w:val="4"/>
    <w:semiHidden/>
    <w:qFormat/>
    <w:uiPriority w:val="99"/>
    <w:rPr>
      <w:kern w:val="2"/>
      <w:sz w:val="18"/>
      <w:szCs w:val="18"/>
    </w:rPr>
  </w:style>
  <w:style w:type="paragraph" w:customStyle="1" w:styleId="19">
    <w:name w:val="列出段落1"/>
    <w:basedOn w:val="1"/>
    <w:qFormat/>
    <w:uiPriority w:val="34"/>
    <w:pPr>
      <w:ind w:firstLine="420" w:firstLineChars="200"/>
    </w:pPr>
  </w:style>
  <w:style w:type="paragraph" w:styleId="20">
    <w:name w:val="List Paragraph"/>
    <w:basedOn w:val="1"/>
    <w:qFormat/>
    <w:uiPriority w:val="34"/>
    <w:pPr>
      <w:ind w:firstLine="420" w:firstLineChars="200"/>
    </w:pPr>
  </w:style>
  <w:style w:type="character" w:customStyle="1" w:styleId="21">
    <w:name w:val="脚注文本 字符"/>
    <w:link w:val="7"/>
    <w:semiHidden/>
    <w:qFormat/>
    <w:uiPriority w:val="99"/>
    <w:rPr>
      <w:rFonts w:ascii="Times New Roman" w:hAnsi="Times New Roman" w:eastAsia="PMingLiU"/>
      <w:kern w:val="2"/>
      <w:lang w:eastAsia="zh-TW"/>
    </w:rPr>
  </w:style>
  <w:style w:type="character" w:customStyle="1" w:styleId="22">
    <w:name w:val="批注文字 字符"/>
    <w:basedOn w:val="11"/>
    <w:link w:val="2"/>
    <w:semiHidden/>
    <w:qFormat/>
    <w:uiPriority w:val="99"/>
    <w:rPr>
      <w:kern w:val="2"/>
      <w:sz w:val="21"/>
      <w:szCs w:val="22"/>
    </w:rPr>
  </w:style>
  <w:style w:type="character" w:customStyle="1" w:styleId="23">
    <w:name w:val="批注主题 字符"/>
    <w:basedOn w:val="22"/>
    <w:link w:val="8"/>
    <w:semiHidden/>
    <w:qFormat/>
    <w:uiPriority w:val="99"/>
    <w:rPr>
      <w:b/>
      <w:bCs/>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新日鐵住金株式会社</Company>
  <Pages>2</Pages>
  <Words>142</Words>
  <Characters>815</Characters>
  <Lines>6</Lines>
  <Paragraphs>1</Paragraphs>
  <TotalTime>40</TotalTime>
  <ScaleCrop>false</ScaleCrop>
  <LinksUpToDate>false</LinksUpToDate>
  <CharactersWithSpaces>956</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2021-10-29T01:00:00Z</dcterms:created>
  <dc:creator>dell</dc:creator>
  <cp:lastModifiedBy>greatwall</cp:lastModifiedBy>
  <cp:lastPrinted>2017-01-18T23:04:00Z</cp:lastPrinted>
  <dcterms:modified xsi:type="dcterms:W3CDTF">2022-02-10T11:22:28Z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