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360" w:lineRule="auto"/>
        <w:jc w:val="center"/>
        <w:rPr>
          <w:rFonts w:ascii="Times New Roman" w:hAnsi="Times New Roman" w:eastAsia="华文仿宋"/>
          <w:b/>
          <w:sz w:val="28"/>
          <w:szCs w:val="28"/>
        </w:rPr>
      </w:pPr>
      <w:r>
        <w:rPr>
          <w:rFonts w:ascii="Times New Roman" w:hAnsi="Times New Roman" w:eastAsia="华文仿宋"/>
          <w:b/>
          <w:sz w:val="28"/>
          <w:szCs w:val="28"/>
        </w:rPr>
        <w:t>经营者集中简易案件公示表</w:t>
      </w:r>
    </w:p>
    <w:tbl>
      <w:tblPr>
        <w:tblStyle w:val="6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663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301" w:type="dxa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jc w:val="center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案件名称</w:t>
            </w: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科学城（广州）信息科技集团有限公司收购浙江和仁科技股份有限公司股权案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301" w:type="dxa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交易概况</w:t>
            </w: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本交易</w:t>
            </w: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为杭州磐源投资有限公司（“杭州磐源”）</w:t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>通过协议转让方式将</w:t>
            </w: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其</w:t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>持有</w:t>
            </w: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的和仁科技29.96%股权转让给</w:t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>科学城信科集团</w:t>
            </w: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。</w:t>
            </w:r>
          </w:p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同时，杭州磐源、杨一兵及其一致行动人杨波、以及杨一兵控制的杭州磐鸿投资管理合伙企业（有限合伙）与科学城信科集团签署了《表决权放弃协议》，放弃其合计持有的和仁科技总股本超过26,499,544.00股（即占和仁科技总股本10.00%）之部分所涉及的表决权等股东权利。</w:t>
            </w:r>
          </w:p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bCs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交易后，科学城信科集团将</w:t>
            </w: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持有和仁科技29.96%股权，</w:t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>成为和仁科技控股股东</w:t>
            </w: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，取得和仁科技的单独控制权</w:t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301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参与集中的经营者简介</w:t>
            </w:r>
          </w:p>
        </w:tc>
        <w:tc>
          <w:tcPr>
            <w:tcW w:w="2663" w:type="dxa"/>
            <w:vAlign w:val="center"/>
          </w:tcPr>
          <w:p>
            <w:pPr>
              <w:snapToGrid w:val="0"/>
              <w:spacing w:after="156" w:afterLines="50" w:line="360" w:lineRule="auto"/>
              <w:jc w:val="center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科学城（广州）信息科技集团有限公司</w:t>
            </w:r>
          </w:p>
          <w:p>
            <w:pPr>
              <w:snapToGrid w:val="0"/>
              <w:spacing w:after="156" w:afterLines="50" w:line="360" w:lineRule="auto"/>
              <w:jc w:val="center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（“</w:t>
            </w: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科学城信科集团</w:t>
            </w: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”）</w:t>
            </w:r>
          </w:p>
        </w:tc>
        <w:tc>
          <w:tcPr>
            <w:tcW w:w="4678" w:type="dxa"/>
            <w:vAlign w:val="center"/>
          </w:tcPr>
          <w:p>
            <w:pPr>
              <w:adjustRightInd w:val="0"/>
              <w:snapToGrid w:val="0"/>
              <w:spacing w:after="156" w:afterLines="50" w:line="360" w:lineRule="auto"/>
              <w:rPr>
                <w:rFonts w:ascii="Times New Roman" w:hAnsi="Times New Roman" w:eastAsia="华文仿宋"/>
                <w:kern w:val="0"/>
                <w:szCs w:val="21"/>
              </w:rPr>
            </w:pP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科学城信科集团为科学城（广州）投资集团有限公司</w:t>
            </w: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的全资子公司</w:t>
            </w: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，设立于1992年11月9日，</w:t>
            </w: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其主要业务为</w:t>
            </w: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新一代信息技术及相关产业的投资、建设、运营和管理等，统筹参与广州</w:t>
            </w: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市</w:t>
            </w: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黄埔区“新基建”工作，助推智能交通、网络安全、商用密码、人工智能、智慧通信等头部企业在黄埔区落地发展。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301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</w:p>
        </w:tc>
        <w:tc>
          <w:tcPr>
            <w:tcW w:w="2663" w:type="dxa"/>
            <w:vAlign w:val="center"/>
          </w:tcPr>
          <w:p>
            <w:pPr>
              <w:snapToGrid w:val="0"/>
              <w:spacing w:after="156" w:afterLines="50" w:line="360" w:lineRule="auto"/>
              <w:jc w:val="center"/>
              <w:rPr>
                <w:rFonts w:ascii="Times New Roman" w:hAnsi="Times New Roman" w:eastAsia="华文仿宋"/>
                <w:bCs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和仁科技股份有限公司</w:t>
            </w:r>
          </w:p>
          <w:p>
            <w:pPr>
              <w:snapToGrid w:val="0"/>
              <w:spacing w:after="156" w:afterLines="50" w:line="360" w:lineRule="auto"/>
              <w:jc w:val="center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（“</w:t>
            </w: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和仁科技</w:t>
            </w: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”）</w:t>
            </w:r>
          </w:p>
        </w:tc>
        <w:tc>
          <w:tcPr>
            <w:tcW w:w="4678" w:type="dxa"/>
            <w:vAlign w:val="center"/>
          </w:tcPr>
          <w:p>
            <w:pPr>
              <w:adjustRightInd w:val="0"/>
              <w:snapToGrid w:val="0"/>
              <w:spacing w:after="156" w:afterLines="50" w:line="360" w:lineRule="auto"/>
              <w:rPr>
                <w:rFonts w:ascii="Times New Roman" w:hAnsi="Times New Roman" w:eastAsia="华文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和仁科技</w:t>
            </w: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成立于2010年</w:t>
            </w:r>
            <w:r>
              <w:rPr>
                <w:rFonts w:hint="eastAsia" w:ascii="Times New Roman" w:hAnsi="Times New Roman" w:eastAsia="华文仿宋"/>
                <w:bCs/>
                <w:sz w:val="24"/>
                <w:szCs w:val="24"/>
              </w:rPr>
              <w:t>，</w:t>
            </w:r>
            <w:r>
              <w:rPr>
                <w:rFonts w:ascii="Times New Roman" w:hAnsi="Times New Roman" w:eastAsia="华文仿宋"/>
                <w:bCs/>
                <w:sz w:val="24"/>
                <w:szCs w:val="24"/>
              </w:rPr>
              <w:t>是专注于为医院、政府提供智慧医疗整体解决方案的高新技术企业。和仁科技聚焦于智慧医疗领域，充分发挥多年的行业研究优势，紧跟行业发展步伐，形成了一套独特、先进、完善的智慧医疗解决方案。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301" w:type="dxa"/>
            <w:vMerge w:val="restart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301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01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301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301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01" w:type="dxa"/>
            <w:vMerge w:val="continue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</w:p>
        </w:tc>
        <w:tc>
          <w:tcPr>
            <w:tcW w:w="7341" w:type="dxa"/>
            <w:gridSpan w:val="2"/>
            <w:vAlign w:val="center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华文仿宋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1" w:type="dxa"/>
            <w:shd w:val="clear" w:color="auto" w:fill="D9D9D9"/>
            <w:vAlign w:val="center"/>
          </w:tcPr>
          <w:p>
            <w:pPr>
              <w:snapToGrid w:val="0"/>
              <w:spacing w:after="156" w:afterLines="50" w:line="360" w:lineRule="auto"/>
              <w:jc w:val="center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ascii="Times New Roman" w:hAnsi="Times New Roman" w:eastAsia="华文仿宋"/>
                <w:sz w:val="24"/>
                <w:szCs w:val="24"/>
              </w:rPr>
              <w:t>备注</w:t>
            </w:r>
          </w:p>
        </w:tc>
        <w:tc>
          <w:tcPr>
            <w:tcW w:w="7341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b w:val="0"/>
                <w:bCs w:val="0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333333"/>
                <w:kern w:val="0"/>
                <w:sz w:val="24"/>
                <w:szCs w:val="24"/>
              </w:rPr>
              <w:t>相关产品市场：医疗信息系统开发运营市场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b w:val="0"/>
                <w:bCs w:val="0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333333"/>
                <w:kern w:val="0"/>
                <w:sz w:val="24"/>
                <w:szCs w:val="24"/>
              </w:rPr>
              <w:t>相关地域市场：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  <w:t>中国境内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b w:val="0"/>
                <w:bCs w:val="0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333333"/>
                <w:kern w:val="0"/>
                <w:sz w:val="24"/>
                <w:szCs w:val="24"/>
              </w:rPr>
              <w:t>市场份额：和仁科技：0-5%</w:t>
            </w:r>
          </w:p>
          <w:p>
            <w:pPr>
              <w:spacing w:line="500" w:lineRule="exact"/>
              <w:rPr>
                <w:rFonts w:ascii="Times New Roman" w:hAnsi="Times New Roman" w:eastAsia="华文仿宋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333333"/>
                <w:kern w:val="0"/>
                <w:sz w:val="24"/>
                <w:szCs w:val="24"/>
              </w:rPr>
              <w:t xml:space="preserve">          参与集中经营者合计：0-5%</w:t>
            </w:r>
          </w:p>
        </w:tc>
      </w:tr>
    </w:tbl>
    <w:p>
      <w:pPr>
        <w:snapToGrid w:val="0"/>
        <w:spacing w:after="156" w:afterLines="50" w:line="360" w:lineRule="auto"/>
        <w:jc w:val="left"/>
        <w:rPr>
          <w:rFonts w:ascii="Times New Roman" w:hAnsi="Times New Roman" w:eastAsia="华文仿宋"/>
          <w:sz w:val="24"/>
          <w:szCs w:val="24"/>
        </w:rPr>
      </w:pPr>
    </w:p>
    <w:p>
      <w:pPr>
        <w:spacing w:after="156" w:afterLines="50" w:line="360" w:lineRule="auto"/>
        <w:ind w:firstLine="420" w:firstLineChars="200"/>
        <w:rPr>
          <w:rFonts w:ascii="Times New Roman" w:hAnsi="Times New Roman" w:eastAsia="华文仿宋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3E78"/>
    <w:rsid w:val="00014828"/>
    <w:rsid w:val="00030522"/>
    <w:rsid w:val="00031712"/>
    <w:rsid w:val="000369F8"/>
    <w:rsid w:val="0005477B"/>
    <w:rsid w:val="00055517"/>
    <w:rsid w:val="00065BC6"/>
    <w:rsid w:val="00067301"/>
    <w:rsid w:val="00070C18"/>
    <w:rsid w:val="00074E77"/>
    <w:rsid w:val="00094095"/>
    <w:rsid w:val="00096726"/>
    <w:rsid w:val="000B16B0"/>
    <w:rsid w:val="000F7AAA"/>
    <w:rsid w:val="001013C1"/>
    <w:rsid w:val="001036F5"/>
    <w:rsid w:val="00124D72"/>
    <w:rsid w:val="00131D6A"/>
    <w:rsid w:val="001400EE"/>
    <w:rsid w:val="00140AD3"/>
    <w:rsid w:val="00141637"/>
    <w:rsid w:val="001544E9"/>
    <w:rsid w:val="00171E1F"/>
    <w:rsid w:val="00183333"/>
    <w:rsid w:val="00183E68"/>
    <w:rsid w:val="00195396"/>
    <w:rsid w:val="001A5611"/>
    <w:rsid w:val="001B3AAE"/>
    <w:rsid w:val="001B4DAA"/>
    <w:rsid w:val="001E6F9B"/>
    <w:rsid w:val="002162B9"/>
    <w:rsid w:val="00216D57"/>
    <w:rsid w:val="00227118"/>
    <w:rsid w:val="002422A1"/>
    <w:rsid w:val="00245776"/>
    <w:rsid w:val="00257D6A"/>
    <w:rsid w:val="00274506"/>
    <w:rsid w:val="002C6357"/>
    <w:rsid w:val="002D31AD"/>
    <w:rsid w:val="002E01AC"/>
    <w:rsid w:val="002F05D1"/>
    <w:rsid w:val="002F2D60"/>
    <w:rsid w:val="00307976"/>
    <w:rsid w:val="00311433"/>
    <w:rsid w:val="00333557"/>
    <w:rsid w:val="00337BFC"/>
    <w:rsid w:val="00375B58"/>
    <w:rsid w:val="0038500A"/>
    <w:rsid w:val="00391F30"/>
    <w:rsid w:val="00395FA7"/>
    <w:rsid w:val="003B0BD9"/>
    <w:rsid w:val="003B7030"/>
    <w:rsid w:val="003C31FB"/>
    <w:rsid w:val="003C4758"/>
    <w:rsid w:val="003D7909"/>
    <w:rsid w:val="003E1C38"/>
    <w:rsid w:val="003E6558"/>
    <w:rsid w:val="003E7FBD"/>
    <w:rsid w:val="00402389"/>
    <w:rsid w:val="00406B98"/>
    <w:rsid w:val="004133D5"/>
    <w:rsid w:val="00423C81"/>
    <w:rsid w:val="004411EB"/>
    <w:rsid w:val="0044504F"/>
    <w:rsid w:val="004454C8"/>
    <w:rsid w:val="0045673F"/>
    <w:rsid w:val="00460D46"/>
    <w:rsid w:val="00461611"/>
    <w:rsid w:val="00462174"/>
    <w:rsid w:val="0046793B"/>
    <w:rsid w:val="00473982"/>
    <w:rsid w:val="004966A4"/>
    <w:rsid w:val="004C6EBC"/>
    <w:rsid w:val="004E278E"/>
    <w:rsid w:val="005124C3"/>
    <w:rsid w:val="005523EA"/>
    <w:rsid w:val="005A1735"/>
    <w:rsid w:val="005A2E15"/>
    <w:rsid w:val="005A4388"/>
    <w:rsid w:val="005C3726"/>
    <w:rsid w:val="005D39DB"/>
    <w:rsid w:val="005D3DE2"/>
    <w:rsid w:val="005E464A"/>
    <w:rsid w:val="005F167B"/>
    <w:rsid w:val="00600013"/>
    <w:rsid w:val="00605B8E"/>
    <w:rsid w:val="0061153D"/>
    <w:rsid w:val="00614B98"/>
    <w:rsid w:val="006225FF"/>
    <w:rsid w:val="006544B3"/>
    <w:rsid w:val="006618F0"/>
    <w:rsid w:val="00696D1C"/>
    <w:rsid w:val="006A01F8"/>
    <w:rsid w:val="006B4579"/>
    <w:rsid w:val="006C5FE4"/>
    <w:rsid w:val="006E73A7"/>
    <w:rsid w:val="006F1CCB"/>
    <w:rsid w:val="006F394A"/>
    <w:rsid w:val="007121C2"/>
    <w:rsid w:val="007125A4"/>
    <w:rsid w:val="007233CC"/>
    <w:rsid w:val="007372A5"/>
    <w:rsid w:val="00747A95"/>
    <w:rsid w:val="007746D2"/>
    <w:rsid w:val="00775A4E"/>
    <w:rsid w:val="00782AFE"/>
    <w:rsid w:val="007841D4"/>
    <w:rsid w:val="00787D47"/>
    <w:rsid w:val="00791282"/>
    <w:rsid w:val="00795FD8"/>
    <w:rsid w:val="007A3679"/>
    <w:rsid w:val="007C2F9F"/>
    <w:rsid w:val="007C30A4"/>
    <w:rsid w:val="007D4228"/>
    <w:rsid w:val="00805A07"/>
    <w:rsid w:val="008156C3"/>
    <w:rsid w:val="00830383"/>
    <w:rsid w:val="00835B3B"/>
    <w:rsid w:val="008524D7"/>
    <w:rsid w:val="008652F5"/>
    <w:rsid w:val="00866A3A"/>
    <w:rsid w:val="00871412"/>
    <w:rsid w:val="00876337"/>
    <w:rsid w:val="0089199D"/>
    <w:rsid w:val="00894B41"/>
    <w:rsid w:val="008962CC"/>
    <w:rsid w:val="008D4374"/>
    <w:rsid w:val="008E08BA"/>
    <w:rsid w:val="008F1498"/>
    <w:rsid w:val="008F6365"/>
    <w:rsid w:val="009120E6"/>
    <w:rsid w:val="0091553C"/>
    <w:rsid w:val="009417C3"/>
    <w:rsid w:val="0094697A"/>
    <w:rsid w:val="009817CE"/>
    <w:rsid w:val="009855A1"/>
    <w:rsid w:val="009862A7"/>
    <w:rsid w:val="009B2B51"/>
    <w:rsid w:val="009E1424"/>
    <w:rsid w:val="009E367A"/>
    <w:rsid w:val="009E712A"/>
    <w:rsid w:val="00A07A82"/>
    <w:rsid w:val="00A14920"/>
    <w:rsid w:val="00A5589B"/>
    <w:rsid w:val="00A573E1"/>
    <w:rsid w:val="00A71A69"/>
    <w:rsid w:val="00A722BD"/>
    <w:rsid w:val="00A964F7"/>
    <w:rsid w:val="00AC4158"/>
    <w:rsid w:val="00AC7600"/>
    <w:rsid w:val="00AD5834"/>
    <w:rsid w:val="00AF2512"/>
    <w:rsid w:val="00AF3FC4"/>
    <w:rsid w:val="00B33502"/>
    <w:rsid w:val="00B5418E"/>
    <w:rsid w:val="00B769C4"/>
    <w:rsid w:val="00BA0750"/>
    <w:rsid w:val="00BA344A"/>
    <w:rsid w:val="00BA7C7D"/>
    <w:rsid w:val="00BB029F"/>
    <w:rsid w:val="00BB2377"/>
    <w:rsid w:val="00BD1476"/>
    <w:rsid w:val="00BD2952"/>
    <w:rsid w:val="00BD3317"/>
    <w:rsid w:val="00C1051F"/>
    <w:rsid w:val="00C1366C"/>
    <w:rsid w:val="00C25E22"/>
    <w:rsid w:val="00C354C8"/>
    <w:rsid w:val="00C36027"/>
    <w:rsid w:val="00C42783"/>
    <w:rsid w:val="00C575EE"/>
    <w:rsid w:val="00C73020"/>
    <w:rsid w:val="00C85E3C"/>
    <w:rsid w:val="00C9068E"/>
    <w:rsid w:val="00C95AE7"/>
    <w:rsid w:val="00CD7BEB"/>
    <w:rsid w:val="00CE12AD"/>
    <w:rsid w:val="00CE675B"/>
    <w:rsid w:val="00D000C7"/>
    <w:rsid w:val="00D17A3D"/>
    <w:rsid w:val="00D21019"/>
    <w:rsid w:val="00D21777"/>
    <w:rsid w:val="00D44CA3"/>
    <w:rsid w:val="00D55FF5"/>
    <w:rsid w:val="00D66E1F"/>
    <w:rsid w:val="00D85012"/>
    <w:rsid w:val="00DB405D"/>
    <w:rsid w:val="00DB7ADF"/>
    <w:rsid w:val="00DD2AFA"/>
    <w:rsid w:val="00DD5422"/>
    <w:rsid w:val="00DE6B4D"/>
    <w:rsid w:val="00DF0BD6"/>
    <w:rsid w:val="00E259C3"/>
    <w:rsid w:val="00E40723"/>
    <w:rsid w:val="00E41BC0"/>
    <w:rsid w:val="00E55B94"/>
    <w:rsid w:val="00E84FE3"/>
    <w:rsid w:val="00E92B7D"/>
    <w:rsid w:val="00E94C75"/>
    <w:rsid w:val="00EB482A"/>
    <w:rsid w:val="00EC0540"/>
    <w:rsid w:val="00EC6DC0"/>
    <w:rsid w:val="00ED21B1"/>
    <w:rsid w:val="00ED5135"/>
    <w:rsid w:val="00ED6957"/>
    <w:rsid w:val="00ED7003"/>
    <w:rsid w:val="00EE204E"/>
    <w:rsid w:val="00EE4138"/>
    <w:rsid w:val="00EE7C80"/>
    <w:rsid w:val="00EF5BA9"/>
    <w:rsid w:val="00F002CA"/>
    <w:rsid w:val="00F04353"/>
    <w:rsid w:val="00F26500"/>
    <w:rsid w:val="00F6282F"/>
    <w:rsid w:val="00F67027"/>
    <w:rsid w:val="00F87C1F"/>
    <w:rsid w:val="00FA0851"/>
    <w:rsid w:val="00FA2695"/>
    <w:rsid w:val="00FA32E5"/>
    <w:rsid w:val="00FB4CD1"/>
    <w:rsid w:val="00FC6D76"/>
    <w:rsid w:val="00FE61D3"/>
    <w:rsid w:val="00FE7060"/>
    <w:rsid w:val="00FF3EE7"/>
    <w:rsid w:val="328F2A2D"/>
    <w:rsid w:val="520D25EC"/>
    <w:rsid w:val="6DD8606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customStyle="1" w:styleId="10">
    <w:name w:val="尾注文本 字符"/>
    <w:basedOn w:val="8"/>
    <w:link w:val="2"/>
    <w:semiHidden/>
    <w:qFormat/>
    <w:uiPriority w:val="99"/>
  </w:style>
  <w:style w:type="character" w:customStyle="1" w:styleId="11">
    <w:name w:val="页眉 字符"/>
    <w:link w:val="5"/>
    <w:qFormat/>
    <w:uiPriority w:val="99"/>
    <w:rPr>
      <w:sz w:val="18"/>
      <w:szCs w:val="18"/>
    </w:rPr>
  </w:style>
  <w:style w:type="character" w:customStyle="1" w:styleId="12">
    <w:name w:val="页脚 字符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B0A783-27B4-485D-926A-E1B41B371D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</Words>
  <Characters>1117</Characters>
  <Lines>9</Lines>
  <Paragraphs>2</Paragraphs>
  <TotalTime>2</TotalTime>
  <ScaleCrop>false</ScaleCrop>
  <LinksUpToDate>false</LinksUpToDate>
  <CharactersWithSpaces>1310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2022-02-11T06:52:00Z</dcterms:created>
  <dc:creator>dell</dc:creator>
  <cp:lastModifiedBy>常亮</cp:lastModifiedBy>
  <cp:lastPrinted>2014-10-08T02:48:00Z</cp:lastPrinted>
  <dcterms:modified xsi:type="dcterms:W3CDTF">2022-02-14T09:12:22Z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