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22"/>
          <w:szCs w:val="30"/>
        </w:rPr>
      </w:pPr>
      <w:bookmarkStart w:id="0" w:name="_GoBack"/>
      <w:bookmarkEnd w:id="0"/>
      <w:r>
        <w:rPr>
          <w:rFonts w:hint="eastAsia" w:ascii="Times New Roman" w:hAnsi="Times New Roman"/>
          <w:b/>
          <w:bCs/>
          <w:sz w:val="22"/>
          <w:szCs w:val="30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/>
          <w:sz w:val="22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2394"/>
        <w:gridCol w:w="46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7" w:type="dxa"/>
            <w:shd w:val="clear" w:color="auto" w:fill="D9D9D9"/>
          </w:tcPr>
          <w:p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2"/>
                <w:szCs w:val="28"/>
              </w:rPr>
              <w:t>案件名称</w:t>
            </w:r>
          </w:p>
        </w:tc>
        <w:tc>
          <w:tcPr>
            <w:tcW w:w="7081" w:type="dxa"/>
            <w:gridSpan w:val="2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hint="eastAsia" w:ascii="Times New Roman" w:hAnsi="Times New Roman"/>
                <w:sz w:val="22"/>
                <w:szCs w:val="28"/>
              </w:rPr>
              <w:t>不二家株式会社与丸红株式会社新设合营企业案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677" w:type="dxa"/>
            <w:shd w:val="clear" w:color="auto" w:fill="D9D9D9"/>
          </w:tcPr>
          <w:p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2"/>
                <w:szCs w:val="28"/>
              </w:rPr>
              <w:t>交易概况（限200字内）</w:t>
            </w:r>
          </w:p>
        </w:tc>
        <w:tc>
          <w:tcPr>
            <w:tcW w:w="7081" w:type="dxa"/>
            <w:gridSpan w:val="2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hint="eastAsia" w:ascii="Times New Roman" w:hAnsi="Times New Roman"/>
                <w:sz w:val="22"/>
                <w:szCs w:val="28"/>
              </w:rPr>
              <w:t>不二家株式会社（以下简称“不二家”）与丸红株式会社（以下简称“丸红”）拟在越南新设合营企业，主要业务为经营休闲食品。设立后，合营企业将由丸红和不二家共同控制。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677" w:type="dxa"/>
            <w:vMerge w:val="restart"/>
            <w:shd w:val="clear" w:color="auto" w:fill="D9D9D9"/>
          </w:tcPr>
          <w:p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2"/>
                <w:szCs w:val="28"/>
              </w:rPr>
              <w:t>参与集中的经营者简介</w:t>
            </w:r>
          </w:p>
        </w:tc>
        <w:tc>
          <w:tcPr>
            <w:tcW w:w="2394" w:type="dxa"/>
          </w:tcPr>
          <w:p>
            <w:pPr>
              <w:pStyle w:val="17"/>
              <w:numPr>
                <w:ilvl w:val="0"/>
                <w:numId w:val="1"/>
              </w:numPr>
              <w:snapToGrid w:val="0"/>
              <w:spacing w:before="120" w:after="120"/>
              <w:ind w:firstLineChars="0"/>
              <w:rPr>
                <w:rFonts w:ascii="Times New Roman" w:hAnsi="Times New Roman"/>
                <w:sz w:val="22"/>
                <w:szCs w:val="28"/>
                <w:lang w:val="en-GB"/>
              </w:rPr>
            </w:pPr>
            <w:r>
              <w:rPr>
                <w:rFonts w:hint="eastAsia" w:ascii="Times New Roman" w:hAnsi="Times New Roman"/>
                <w:sz w:val="22"/>
                <w:szCs w:val="28"/>
                <w:lang w:val="en-GB"/>
              </w:rPr>
              <w:t>不二家</w:t>
            </w:r>
          </w:p>
        </w:tc>
        <w:tc>
          <w:tcPr>
            <w:tcW w:w="4687" w:type="dxa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hint="eastAsia" w:ascii="Times New Roman" w:hAnsi="Times New Roman"/>
                <w:sz w:val="22"/>
                <w:szCs w:val="28"/>
              </w:rPr>
              <w:t>1938年6月30日，不二家在日本东京成立。不二家是一家日本食品公司，主要从事糖果、冰淇淋、面包及原料的制造和销售，咖啡店和饮料店的经营，冷饮、乳制品和酒的制造和销售，前述产品的进出口，原材料的代理，以及上述所有产品的加工和销售。不二家的最终控制人是山崎面包株式会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677" w:type="dxa"/>
            <w:vMerge w:val="continue"/>
            <w:shd w:val="clear" w:color="auto" w:fill="D9D9D9"/>
          </w:tcPr>
          <w:p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</w:p>
        </w:tc>
        <w:tc>
          <w:tcPr>
            <w:tcW w:w="2394" w:type="dxa"/>
          </w:tcPr>
          <w:p>
            <w:pPr>
              <w:pStyle w:val="17"/>
              <w:numPr>
                <w:ilvl w:val="0"/>
                <w:numId w:val="1"/>
              </w:numPr>
              <w:snapToGrid w:val="0"/>
              <w:spacing w:before="120" w:after="120"/>
              <w:ind w:firstLineChars="0"/>
              <w:rPr>
                <w:rFonts w:ascii="Times New Roman" w:hAnsi="Times New Roman"/>
                <w:sz w:val="22"/>
                <w:szCs w:val="28"/>
                <w:lang w:val="en-GB"/>
              </w:rPr>
            </w:pPr>
            <w:r>
              <w:rPr>
                <w:rFonts w:hint="eastAsia" w:ascii="Times New Roman" w:hAnsi="Times New Roman"/>
                <w:sz w:val="22"/>
                <w:szCs w:val="28"/>
                <w:lang w:val="en-GB"/>
              </w:rPr>
              <w:t>丸红</w:t>
            </w:r>
          </w:p>
        </w:tc>
        <w:tc>
          <w:tcPr>
            <w:tcW w:w="4687" w:type="dxa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lang w:val="en-GB"/>
              </w:rPr>
            </w:pPr>
            <w:r>
              <w:rPr>
                <w:rFonts w:hint="eastAsia" w:ascii="Times New Roman" w:hAnsi="Times New Roman"/>
                <w:sz w:val="22"/>
                <w:lang w:val="en-GB"/>
              </w:rPr>
              <w:t>1949年12月1日，丸红在日本东京成立。丸红在生活方式、信息通讯技术、房地产业务、森林产品、食品、农业、化学品、能源、金属和矿产资源、电力业务、基础设施项目、航空航天和船舶、金融和租赁业务、建筑、工业机械、移动业务以及新业务开发等广泛领域开展多边业务活动，例如进出口贸易（包括第三国贸易）和本土业务，此外还在上述所有行业开展各种服务、对内和对外投资及资源开发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677" w:type="dxa"/>
            <w:vMerge w:val="restart"/>
            <w:shd w:val="clear" w:color="auto" w:fill="D9D9D9"/>
          </w:tcPr>
          <w:p>
            <w:pPr>
              <w:snapToGrid w:val="0"/>
              <w:spacing w:before="120" w:after="120"/>
              <w:rPr>
                <w:rFonts w:ascii="Times New Roman" w:hAnsi="Times New Roman"/>
                <w:b/>
                <w:bCs/>
                <w:sz w:val="22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2"/>
                <w:szCs w:val="28"/>
              </w:rPr>
              <w:t>简易案件理由（可以单选，也可以多选）</w:t>
            </w:r>
          </w:p>
        </w:tc>
        <w:tc>
          <w:tcPr>
            <w:tcW w:w="7081" w:type="dxa"/>
            <w:gridSpan w:val="2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hint="eastAsia" w:ascii="Times New Roman" w:hAnsi="Times New Roman"/>
                <w:sz w:val="22"/>
                <w:szCs w:val="30"/>
              </w:rPr>
              <w:sym w:font="Wingdings" w:char="F0A8"/>
            </w:r>
            <w:r>
              <w:rPr>
                <w:rFonts w:hint="eastAsia" w:ascii="Times New Roman" w:hAnsi="Times New Roman"/>
                <w:sz w:val="22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677" w:type="dxa"/>
            <w:vMerge w:val="continue"/>
            <w:shd w:val="clear" w:color="auto" w:fill="D9D9D9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hint="eastAsia" w:ascii="Times New Roman" w:hAnsi="Times New Roman"/>
                <w:sz w:val="22"/>
                <w:szCs w:val="30"/>
              </w:rPr>
              <w:sym w:font="Wingdings" w:char="F0A8"/>
            </w:r>
            <w:r>
              <w:rPr>
                <w:rFonts w:hint="eastAsia" w:ascii="Times New Roman" w:hAnsi="Times New Roman"/>
                <w:sz w:val="22"/>
                <w:szCs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677" w:type="dxa"/>
            <w:vMerge w:val="continue"/>
            <w:shd w:val="clear" w:color="auto" w:fill="D9D9D9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hint="eastAsia" w:ascii="Times New Roman" w:hAnsi="Times New Roman"/>
                <w:sz w:val="22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677" w:type="dxa"/>
            <w:vMerge w:val="continue"/>
            <w:shd w:val="clear" w:color="auto" w:fill="D9D9D9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hint="eastAsia" w:ascii="Times New Roman" w:hAnsi="Times New Roman"/>
                <w:sz w:val="22"/>
                <w:szCs w:val="28"/>
              </w:rPr>
              <w:sym w:font="Wingdings" w:char="F0FE"/>
            </w:r>
            <w:r>
              <w:rPr>
                <w:rFonts w:hint="eastAsia" w:ascii="Times New Roman" w:hAnsi="Times New Roman"/>
                <w:sz w:val="22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677" w:type="dxa"/>
            <w:vMerge w:val="continue"/>
            <w:shd w:val="clear" w:color="auto" w:fill="D9D9D9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hint="eastAsia" w:ascii="Times New Roman" w:hAnsi="Times New Roman"/>
                <w:sz w:val="22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677" w:type="dxa"/>
            <w:vMerge w:val="continue"/>
            <w:shd w:val="clear" w:color="auto" w:fill="D9D9D9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7081" w:type="dxa"/>
            <w:gridSpan w:val="2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hint="eastAsia" w:ascii="Times New Roman" w:hAnsi="Times New Roman"/>
                <w:sz w:val="22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7" w:type="dxa"/>
            <w:shd w:val="clear" w:color="auto" w:fill="D9D9D9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hint="eastAsia" w:ascii="Times New Roman" w:hAnsi="Times New Roman"/>
                <w:sz w:val="22"/>
                <w:szCs w:val="28"/>
              </w:rPr>
              <w:t>备注</w:t>
            </w:r>
          </w:p>
        </w:tc>
        <w:tc>
          <w:tcPr>
            <w:tcW w:w="7081" w:type="dxa"/>
            <w:gridSpan w:val="2"/>
          </w:tcPr>
          <w:p>
            <w:pPr>
              <w:snapToGrid w:val="0"/>
              <w:spacing w:before="120" w:after="120"/>
              <w:rPr>
                <w:rFonts w:ascii="Times New Roman" w:hAnsi="Times New Roman"/>
                <w:sz w:val="22"/>
                <w:szCs w:val="28"/>
              </w:rPr>
            </w:pPr>
            <w:r>
              <w:rPr>
                <w:rFonts w:hint="eastAsia" w:ascii="Times New Roman" w:hAnsi="Times New Roman"/>
                <w:sz w:val="22"/>
                <w:szCs w:val="28"/>
              </w:rPr>
              <w:t xml:space="preserve">不适用 </w:t>
            </w:r>
          </w:p>
        </w:tc>
      </w:tr>
    </w:tbl>
    <w:p>
      <w:pPr>
        <w:spacing w:line="360" w:lineRule="auto"/>
        <w:rPr>
          <w:rFonts w:ascii="Times New Roman" w:hAnsi="Times New Roman"/>
          <w:sz w:val="22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Droid Sans Fallback"/>
    <w:panose1 w:val="02020300000000000000"/>
    <w:charset w:val="88"/>
    <w:family w:val="roman"/>
    <w:pitch w:val="default"/>
    <w:sig w:usb0="00000000" w:usb1="00000000" w:usb2="00000016" w:usb3="00000000" w:csb0="0010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center" w:pos="4536"/>
        <w:tab w:val="right" w:pos="9072"/>
        <w:tab w:val="clear" w:pos="4153"/>
        <w:tab w:val="clear" w:pos="8306"/>
      </w:tabs>
      <w:jc w:val="both"/>
      <w:rPr>
        <w:sz w:val="16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B40A36"/>
    <w:multiLevelType w:val="multilevel"/>
    <w:tmpl w:val="61B40A3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0DF9"/>
    <w:rsid w:val="00066E1C"/>
    <w:rsid w:val="00094095"/>
    <w:rsid w:val="000A02A2"/>
    <w:rsid w:val="000A3CA7"/>
    <w:rsid w:val="000A41DF"/>
    <w:rsid w:val="000E7FC9"/>
    <w:rsid w:val="00100831"/>
    <w:rsid w:val="00100B60"/>
    <w:rsid w:val="0011005F"/>
    <w:rsid w:val="001156DD"/>
    <w:rsid w:val="00140AB6"/>
    <w:rsid w:val="00143C4F"/>
    <w:rsid w:val="0016064F"/>
    <w:rsid w:val="001A001B"/>
    <w:rsid w:val="001A670A"/>
    <w:rsid w:val="001C59F2"/>
    <w:rsid w:val="001D4449"/>
    <w:rsid w:val="001D4ADD"/>
    <w:rsid w:val="001E0A66"/>
    <w:rsid w:val="0020313A"/>
    <w:rsid w:val="002158DC"/>
    <w:rsid w:val="00230312"/>
    <w:rsid w:val="00244D10"/>
    <w:rsid w:val="00245776"/>
    <w:rsid w:val="00262658"/>
    <w:rsid w:val="002655A2"/>
    <w:rsid w:val="002A0309"/>
    <w:rsid w:val="002A410C"/>
    <w:rsid w:val="002C1CD9"/>
    <w:rsid w:val="002E2C9F"/>
    <w:rsid w:val="002F2D60"/>
    <w:rsid w:val="00307976"/>
    <w:rsid w:val="003145BC"/>
    <w:rsid w:val="00386653"/>
    <w:rsid w:val="003B72B2"/>
    <w:rsid w:val="003C5C55"/>
    <w:rsid w:val="003D0FE2"/>
    <w:rsid w:val="003D7CD9"/>
    <w:rsid w:val="004030E1"/>
    <w:rsid w:val="00413A4D"/>
    <w:rsid w:val="00417374"/>
    <w:rsid w:val="00462174"/>
    <w:rsid w:val="004A30CC"/>
    <w:rsid w:val="004C4DB5"/>
    <w:rsid w:val="004C6CA1"/>
    <w:rsid w:val="00503AD6"/>
    <w:rsid w:val="00540FD5"/>
    <w:rsid w:val="00544421"/>
    <w:rsid w:val="00576510"/>
    <w:rsid w:val="0058359C"/>
    <w:rsid w:val="005C1DE0"/>
    <w:rsid w:val="005C25F5"/>
    <w:rsid w:val="005F167B"/>
    <w:rsid w:val="006300C0"/>
    <w:rsid w:val="00664179"/>
    <w:rsid w:val="00667DFA"/>
    <w:rsid w:val="006A4F76"/>
    <w:rsid w:val="006A5728"/>
    <w:rsid w:val="007044D3"/>
    <w:rsid w:val="0074432D"/>
    <w:rsid w:val="00767C8A"/>
    <w:rsid w:val="007A25FF"/>
    <w:rsid w:val="007C7803"/>
    <w:rsid w:val="0080386C"/>
    <w:rsid w:val="00826BFB"/>
    <w:rsid w:val="00827300"/>
    <w:rsid w:val="00830313"/>
    <w:rsid w:val="0089745C"/>
    <w:rsid w:val="008C1C6C"/>
    <w:rsid w:val="008D0251"/>
    <w:rsid w:val="008E6608"/>
    <w:rsid w:val="008F634B"/>
    <w:rsid w:val="00930521"/>
    <w:rsid w:val="0095347A"/>
    <w:rsid w:val="009A7806"/>
    <w:rsid w:val="009C24F4"/>
    <w:rsid w:val="009C5ACB"/>
    <w:rsid w:val="009D130E"/>
    <w:rsid w:val="00A11188"/>
    <w:rsid w:val="00A253FD"/>
    <w:rsid w:val="00A339CA"/>
    <w:rsid w:val="00A4006B"/>
    <w:rsid w:val="00A43A3E"/>
    <w:rsid w:val="00A77BD3"/>
    <w:rsid w:val="00AD254C"/>
    <w:rsid w:val="00B15DD8"/>
    <w:rsid w:val="00B41560"/>
    <w:rsid w:val="00B913F0"/>
    <w:rsid w:val="00BA0750"/>
    <w:rsid w:val="00BA7437"/>
    <w:rsid w:val="00BB2377"/>
    <w:rsid w:val="00BD3D34"/>
    <w:rsid w:val="00BF1314"/>
    <w:rsid w:val="00C400CC"/>
    <w:rsid w:val="00C42F7D"/>
    <w:rsid w:val="00C76979"/>
    <w:rsid w:val="00C823D6"/>
    <w:rsid w:val="00C9068E"/>
    <w:rsid w:val="00D001A9"/>
    <w:rsid w:val="00D21777"/>
    <w:rsid w:val="00D451A4"/>
    <w:rsid w:val="00D515E7"/>
    <w:rsid w:val="00D62CD9"/>
    <w:rsid w:val="00D81066"/>
    <w:rsid w:val="00D85B85"/>
    <w:rsid w:val="00DB4FFD"/>
    <w:rsid w:val="00DF3F21"/>
    <w:rsid w:val="00E11C0D"/>
    <w:rsid w:val="00E2619D"/>
    <w:rsid w:val="00E32A0C"/>
    <w:rsid w:val="00E52B09"/>
    <w:rsid w:val="00E94C57"/>
    <w:rsid w:val="00EB0EE6"/>
    <w:rsid w:val="00EB1CC4"/>
    <w:rsid w:val="00EB6C72"/>
    <w:rsid w:val="00ED21B1"/>
    <w:rsid w:val="00EE2784"/>
    <w:rsid w:val="00EF290C"/>
    <w:rsid w:val="00F07CDF"/>
    <w:rsid w:val="00F16269"/>
    <w:rsid w:val="00F5086B"/>
    <w:rsid w:val="00F55662"/>
    <w:rsid w:val="00F87C1F"/>
    <w:rsid w:val="00FE4CAC"/>
    <w:rsid w:val="00FF6660"/>
    <w:rsid w:val="69BFFF1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2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8"/>
    <w:qFormat/>
    <w:uiPriority w:val="0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qFormat/>
    <w:uiPriority w:val="0"/>
    <w:rPr>
      <w:vertAlign w:val="superscript"/>
    </w:rPr>
  </w:style>
  <w:style w:type="character" w:customStyle="1" w:styleId="12">
    <w:name w:val="Endnote Text Char"/>
    <w:basedOn w:val="9"/>
    <w:link w:val="2"/>
    <w:semiHidden/>
    <w:qFormat/>
    <w:uiPriority w:val="99"/>
  </w:style>
  <w:style w:type="character" w:customStyle="1" w:styleId="13">
    <w:name w:val="Header Char"/>
    <w:link w:val="5"/>
    <w:qFormat/>
    <w:uiPriority w:val="99"/>
    <w:rPr>
      <w:sz w:val="18"/>
      <w:szCs w:val="18"/>
    </w:rPr>
  </w:style>
  <w:style w:type="character" w:customStyle="1" w:styleId="14">
    <w:name w:val="Footer Char"/>
    <w:link w:val="4"/>
    <w:qFormat/>
    <w:uiPriority w:val="99"/>
    <w:rPr>
      <w:sz w:val="18"/>
      <w:szCs w:val="18"/>
    </w:rPr>
  </w:style>
  <w:style w:type="character" w:customStyle="1" w:styleId="15">
    <w:name w:val="Balloon Text Char"/>
    <w:link w:val="3"/>
    <w:semiHidden/>
    <w:qFormat/>
    <w:uiPriority w:val="99"/>
    <w:rPr>
      <w:kern w:val="2"/>
      <w:sz w:val="18"/>
      <w:szCs w:val="18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Footnote Text Char"/>
    <w:link w:val="6"/>
    <w:qFormat/>
    <w:uiPriority w:val="0"/>
    <w:rPr>
      <w:rFonts w:ascii="Times New Roman" w:hAnsi="Times New Roman" w:eastAsia="PMingLiU"/>
      <w:kern w:val="2"/>
      <w:lang w:eastAsia="zh-TW"/>
    </w:rPr>
  </w:style>
  <w:style w:type="character" w:customStyle="1" w:styleId="19">
    <w:name w:val="Body 1 Char"/>
    <w:link w:val="20"/>
    <w:qFormat/>
    <w:locked/>
    <w:uiPriority w:val="0"/>
    <w:rPr>
      <w:kern w:val="2"/>
      <w:szCs w:val="24"/>
    </w:rPr>
  </w:style>
  <w:style w:type="paragraph" w:customStyle="1" w:styleId="20">
    <w:name w:val="Body 1"/>
    <w:basedOn w:val="1"/>
    <w:link w:val="19"/>
    <w:qFormat/>
    <w:uiPriority w:val="0"/>
    <w:pPr>
      <w:spacing w:after="210"/>
    </w:pPr>
    <w:rPr>
      <w:sz w:val="2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HSF">
  <a:themeElements>
    <a:clrScheme name="HSF Brand">
      <a:dk1>
        <a:sysClr val="windowText" lastClr="000000"/>
      </a:dk1>
      <a:lt1>
        <a:sysClr val="window" lastClr="FFFFFF"/>
      </a:lt1>
      <a:dk2>
        <a:srgbClr val="1C3E78"/>
      </a:dk2>
      <a:lt2>
        <a:srgbClr val="A4A6A8"/>
      </a:lt2>
      <a:accent1>
        <a:srgbClr val="1C3E78"/>
      </a:accent1>
      <a:accent2>
        <a:srgbClr val="40AAB8"/>
      </a:accent2>
      <a:accent3>
        <a:srgbClr val="FFC72C"/>
      </a:accent3>
      <a:accent4>
        <a:srgbClr val="A24381"/>
      </a:accent4>
      <a:accent5>
        <a:srgbClr val="235BA8"/>
      </a:accent5>
      <a:accent6>
        <a:srgbClr val="F65058"/>
      </a:accent6>
      <a:hlink>
        <a:srgbClr val="235BA8"/>
      </a:hlink>
      <a:folHlink>
        <a:srgbClr val="A4A6A8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9525">
          <a:noFill/>
        </a:ln>
      </a:spPr>
      <a:bodyPr lIns="72000" tIns="72000" rIns="72000" bIns="72000"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>
          <a:noFill/>
        </a:ln>
      </a:spPr>
      <a:bodyPr wrap="square" lIns="72000" tIns="72000" rIns="72000" bIns="72000" rtlCol="0" anchor="t" anchorCtr="false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Sinobridge</Company>
  <Pages>1</Pages>
  <Words>115</Words>
  <Characters>660</Characters>
  <Lines>5</Lines>
  <Paragraphs>1</Paragraphs>
  <TotalTime>3</TotalTime>
  <ScaleCrop>false</ScaleCrop>
  <LinksUpToDate>false</LinksUpToDate>
  <CharactersWithSpaces>774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2022-03-28T16:39:00Z</dcterms:created>
  <dc:creator>dell</dc:creator>
  <cp:lastModifiedBy>greatwall</cp:lastModifiedBy>
  <cp:lastPrinted>2017-01-18T15:04:00Z</cp:lastPrinted>
  <dcterms:modified xsi:type="dcterms:W3CDTF">2022-04-02T14:08:50Z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dFooter">
    <vt:lpwstr>True</vt:lpwstr>
  </property>
  <property fmtid="{D5CDD505-2E9C-101B-9397-08002B2CF9AE}" pid="3" name="FooterType">
    <vt:lpwstr>Doc ID and firm name</vt:lpwstr>
  </property>
  <property fmtid="{D5CDD505-2E9C-101B-9397-08002B2CF9AE}" pid="4" name="KSOProductBuildVer">
    <vt:lpwstr>2052-11.8.2.10458</vt:lpwstr>
  </property>
</Properties>
</file>