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经营者集中简易案件公示表</w:t>
      </w:r>
    </w:p>
    <w:p>
      <w:pPr>
        <w:jc w:val="center"/>
        <w:rPr>
          <w:rFonts w:ascii="黑体" w:eastAsia="黑体"/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560"/>
        <w:gridCol w:w="51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案件名称</w:t>
            </w:r>
          </w:p>
        </w:tc>
        <w:tc>
          <w:tcPr>
            <w:tcW w:w="666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索通发展股份有限公司收购佛山市欣源电子股份有限公司股权案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交易概况（限200字内）</w:t>
            </w:r>
          </w:p>
        </w:tc>
        <w:tc>
          <w:tcPr>
            <w:tcW w:w="6663" w:type="dxa"/>
            <w:gridSpan w:val="2"/>
          </w:tcPr>
          <w:p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索通发展股份有限公司（“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索通发展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”）与薛永、广州市三顺商业投资合伙企业（有限合伙）等签署协议，索通发展拟收购佛山市欣源电子股份有限公司（“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欣源股份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”）94.9777%股权。欣源股份主要从事薄膜电容器的研发、生产和销售业务，以及石墨负极材料的生产和销售业务。交易前，薛永及其一致行动人合计持有欣源85.2535%股权，单独控制欣源股份。交易后，索通发展将持有欣源股份94.9777%股权，取得对欣源股份的单独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参与集中的经营者简介</w:t>
            </w:r>
          </w:p>
        </w:tc>
        <w:tc>
          <w:tcPr>
            <w:tcW w:w="156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1.索通发展</w:t>
            </w:r>
          </w:p>
        </w:tc>
        <w:tc>
          <w:tcPr>
            <w:tcW w:w="5103" w:type="dxa"/>
          </w:tcPr>
          <w:p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2003年8月27日在山东省注册成立，为上海证券交易所主板的上市公司。索通发展主要从事商用预焙阳极的研发、生产和销售业务。</w:t>
            </w:r>
          </w:p>
          <w:p>
            <w:pPr>
              <w:pStyle w:val="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索通发展的最终控制人为自然人，主要业务包括索通发展的业务范围，以及投资咨询、创业投资业务。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2. 欣源股份</w:t>
            </w:r>
          </w:p>
        </w:tc>
        <w:tc>
          <w:tcPr>
            <w:tcW w:w="5103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2003年8月15日在广东省注册成立。欣源股份主要从事薄膜电容器的研发、生产和销售业务，以及石墨负极材料的生产和销售业务。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欣源股份的最终控制人为自然人，主要业务与欣源股份的业务范围相同。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66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666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□2、存在上下游关系的参与集中的经营者，在上下游市场所占的市场份额均小于25%。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666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sym w:font="Wingdings" w:char="F0F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666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666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666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809" w:type="dxa"/>
            <w:shd w:val="clear" w:color="auto" w:fill="D9D9D9"/>
          </w:tcPr>
          <w:p>
            <w:pPr>
              <w:snapToGrid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备注</w:t>
            </w:r>
          </w:p>
        </w:tc>
        <w:tc>
          <w:tcPr>
            <w:tcW w:w="6663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混合集中：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2021年中国境内锂离子电池石墨负极材料市场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240" w:firstLineChars="1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欣源股份：0-5%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2021年全球薄膜电容器市场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240" w:firstLineChars="1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欣源股份：0-5%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4"/>
                <w:szCs w:val="24"/>
              </w:rPr>
              <w:t>2021年中国境内薄膜电容器市场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240" w:firstLineChars="100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欣源股份：0-5%</w:t>
            </w:r>
          </w:p>
        </w:tc>
      </w:tr>
    </w:tbl>
    <w:p>
      <w:pPr>
        <w:spacing w:before="156" w:after="312"/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(正文 CS 字体)">
    <w:altName w:val="DejaVu Sans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Songti SC">
    <w:altName w:val="汉仪中宋简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EA4"/>
    <w:rsid w:val="0007317B"/>
    <w:rsid w:val="00210D98"/>
    <w:rsid w:val="002B67D4"/>
    <w:rsid w:val="003E51CB"/>
    <w:rsid w:val="00404EA4"/>
    <w:rsid w:val="004B0950"/>
    <w:rsid w:val="00935E02"/>
    <w:rsid w:val="00AA4EF5"/>
    <w:rsid w:val="00C01C98"/>
    <w:rsid w:val="00D15AA3"/>
    <w:rsid w:val="00DB5D98"/>
    <w:rsid w:val="00DE40FD"/>
    <w:rsid w:val="00F13DA8"/>
    <w:rsid w:val="57767C93"/>
    <w:rsid w:val="CE97EF1D"/>
    <w:rsid w:val="FEE7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ongti SC" w:cs="Times New Roman (正文 CS 字体)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Cs w:val="4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8"/>
    <w:semiHidden/>
    <w:unhideWhenUsed/>
    <w:qFormat/>
    <w:uiPriority w:val="99"/>
    <w:rPr>
      <w:rFonts w:ascii="宋体"/>
      <w:sz w:val="18"/>
      <w:szCs w:val="18"/>
    </w:rPr>
  </w:style>
  <w:style w:type="character" w:customStyle="1" w:styleId="6">
    <w:name w:val="标题 1 字符"/>
    <w:basedOn w:val="5"/>
    <w:link w:val="2"/>
    <w:qFormat/>
    <w:uiPriority w:val="9"/>
    <w:rPr>
      <w:b/>
      <w:bCs/>
      <w:kern w:val="44"/>
      <w:szCs w:val="44"/>
    </w:rPr>
  </w:style>
  <w:style w:type="paragraph" w:styleId="7">
    <w:name w:val="List Paragraph"/>
    <w:basedOn w:val="1"/>
    <w:qFormat/>
    <w:uiPriority w:val="34"/>
    <w:pPr>
      <w:ind w:firstLine="420" w:firstLineChars="200"/>
    </w:pPr>
    <w:rPr>
      <w:rFonts w:ascii="Calibri" w:hAnsi="Calibri" w:cs="Times New Roman"/>
    </w:rPr>
  </w:style>
  <w:style w:type="character" w:customStyle="1" w:styleId="8">
    <w:name w:val="批注框文本 字符"/>
    <w:basedOn w:val="5"/>
    <w:link w:val="3"/>
    <w:semiHidden/>
    <w:qFormat/>
    <w:uiPriority w:val="99"/>
    <w:rPr>
      <w:rFonts w:ascii="宋体" w:eastAsia="宋体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</Words>
  <Characters>774</Characters>
  <Lines>6</Lines>
  <Paragraphs>1</Paragraphs>
  <TotalTime>6</TotalTime>
  <ScaleCrop>false</ScaleCrop>
  <LinksUpToDate>false</LinksUpToDate>
  <CharactersWithSpaces>908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2022-08-09T12:35:00Z</dcterms:created>
  <dc:creator>tongshang</dc:creator>
  <cp:lastModifiedBy>oa</cp:lastModifiedBy>
  <cp:lastPrinted>2022-08-26T22:30:00Z</cp:lastPrinted>
  <dcterms:modified xsi:type="dcterms:W3CDTF">2022-08-26T17:17:45Z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