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Times New Roman" w:hAnsi="Times New Roman" w:eastAsia="SimHei"/>
          <w:b/>
          <w:bCs/>
          <w:sz w:val="36"/>
          <w:szCs w:val="36"/>
        </w:rPr>
      </w:pPr>
      <w:r>
        <w:rPr>
          <w:rFonts w:ascii="Times New Roman" w:hAnsi="Times New Roman" w:eastAsia="SimHei"/>
          <w:b/>
          <w:bCs/>
          <w:sz w:val="36"/>
          <w:szCs w:val="36"/>
        </w:rPr>
        <w:t>经营者集中简易案件公示表</w:t>
      </w:r>
    </w:p>
    <w:p>
      <w:pPr>
        <w:spacing w:line="288" w:lineRule="auto"/>
        <w:ind w:firstLine="724" w:firstLineChars="302"/>
        <w:rPr>
          <w:rFonts w:ascii="Times New Roman" w:hAnsi="Times New Roman"/>
          <w:sz w:val="24"/>
          <w:szCs w:val="24"/>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sz w:val="24"/>
                <w:szCs w:val="24"/>
              </w:rPr>
              <w:t>科尔伯格有限责任公司</w:t>
            </w:r>
            <w:r>
              <w:rPr>
                <w:rFonts w:hint="eastAsia" w:ascii="Times New Roman" w:hAnsi="Times New Roman"/>
                <w:sz w:val="24"/>
                <w:szCs w:val="24"/>
              </w:rPr>
              <w:t>与</w:t>
            </w:r>
            <w:r>
              <w:rPr>
                <w:rFonts w:ascii="Times New Roman" w:hAnsi="Times New Roman"/>
                <w:sz w:val="24"/>
                <w:szCs w:val="24"/>
              </w:rPr>
              <w:t>穆巴达拉投资公司</w:t>
            </w:r>
            <w:r>
              <w:rPr>
                <w:rFonts w:hint="eastAsia" w:ascii="Times New Roman" w:hAnsi="Times New Roman"/>
                <w:sz w:val="24"/>
                <w:szCs w:val="24"/>
              </w:rPr>
              <w:t>等经营者</w:t>
            </w:r>
            <w:r>
              <w:rPr>
                <w:rFonts w:ascii="Times New Roman" w:hAnsi="Times New Roman"/>
                <w:sz w:val="24"/>
                <w:szCs w:val="24"/>
              </w:rPr>
              <w:t>收购Onecall控股公司股权案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（限200字内）</w:t>
            </w: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sz w:val="24"/>
                <w:szCs w:val="24"/>
              </w:rPr>
              <w:t>科尔伯格有限责任公司（“</w:t>
            </w:r>
            <w:r>
              <w:rPr>
                <w:rFonts w:ascii="Times New Roman" w:hAnsi="Times New Roman"/>
                <w:b/>
                <w:bCs/>
                <w:sz w:val="24"/>
                <w:szCs w:val="24"/>
              </w:rPr>
              <w:t>科尔伯格</w:t>
            </w:r>
            <w:r>
              <w:rPr>
                <w:rFonts w:ascii="Times New Roman" w:hAnsi="Times New Roman"/>
                <w:sz w:val="24"/>
                <w:szCs w:val="24"/>
              </w:rPr>
              <w:t>”）、穆巴达拉投资公司（“</w:t>
            </w:r>
            <w:r>
              <w:rPr>
                <w:rFonts w:ascii="Times New Roman" w:hAnsi="Times New Roman"/>
                <w:b/>
                <w:bCs/>
                <w:sz w:val="24"/>
                <w:szCs w:val="24"/>
              </w:rPr>
              <w:t>穆巴达拉</w:t>
            </w:r>
            <w:r>
              <w:rPr>
                <w:rFonts w:ascii="Times New Roman" w:hAnsi="Times New Roman"/>
                <w:sz w:val="24"/>
                <w:szCs w:val="24"/>
              </w:rPr>
              <w:t>”）和NB另类投资顾问有限公司（“</w:t>
            </w:r>
            <w:r>
              <w:rPr>
                <w:rFonts w:ascii="Times New Roman" w:hAnsi="Times New Roman"/>
                <w:b/>
                <w:bCs/>
                <w:sz w:val="24"/>
                <w:szCs w:val="24"/>
              </w:rPr>
              <w:t>纽伯格</w:t>
            </w:r>
            <w:r>
              <w:rPr>
                <w:rFonts w:ascii="Times New Roman" w:hAnsi="Times New Roman"/>
                <w:sz w:val="24"/>
                <w:szCs w:val="24"/>
              </w:rPr>
              <w:t>”）拟通过一系列新设控股公司间接收购</w:t>
            </w:r>
            <w:r>
              <w:rPr>
                <w:rFonts w:hint="eastAsia" w:ascii="Times New Roman" w:hAnsi="Times New Roman"/>
                <w:sz w:val="24"/>
                <w:szCs w:val="24"/>
              </w:rPr>
              <w:t>Onecall控股公司（“</w:t>
            </w:r>
            <w:r>
              <w:rPr>
                <w:rFonts w:hint="eastAsia" w:ascii="Times New Roman" w:hAnsi="Times New Roman"/>
                <w:b/>
                <w:bCs/>
                <w:sz w:val="24"/>
                <w:szCs w:val="24"/>
                <w:lang w:eastAsia="zh-CN"/>
              </w:rPr>
              <w:t>被收购方</w:t>
            </w:r>
            <w:bookmarkStart w:id="0" w:name="_GoBack"/>
            <w:bookmarkEnd w:id="0"/>
            <w:r>
              <w:rPr>
                <w:rFonts w:hint="eastAsia" w:ascii="Times New Roman" w:hAnsi="Times New Roman"/>
                <w:sz w:val="24"/>
                <w:szCs w:val="24"/>
              </w:rPr>
              <w:t>”）</w:t>
            </w:r>
            <w:r>
              <w:rPr>
                <w:rFonts w:ascii="Times New Roman" w:hAnsi="Times New Roman"/>
                <w:sz w:val="24"/>
                <w:szCs w:val="24"/>
              </w:rPr>
              <w:t>的共同控制权（“</w:t>
            </w:r>
            <w:r>
              <w:rPr>
                <w:rFonts w:ascii="Times New Roman" w:hAnsi="Times New Roman"/>
                <w:b/>
                <w:bCs/>
                <w:sz w:val="24"/>
                <w:szCs w:val="24"/>
              </w:rPr>
              <w:t>本交易</w:t>
            </w:r>
            <w:r>
              <w:rPr>
                <w:rFonts w:ascii="Times New Roman" w:hAnsi="Times New Roman"/>
                <w:sz w:val="24"/>
                <w:szCs w:val="24"/>
              </w:rPr>
              <w:t>”）。本交易完成前，目标公司由合众道远有限公司单独控制。本交易完成后，目标公司将由合众道远有限公司、科尔伯格、穆巴达拉</w:t>
            </w:r>
            <w:r>
              <w:rPr>
                <w:rFonts w:hint="eastAsia" w:ascii="Times New Roman" w:hAnsi="Times New Roman"/>
                <w:sz w:val="24"/>
                <w:szCs w:val="24"/>
              </w:rPr>
              <w:t>和</w:t>
            </w:r>
            <w:r>
              <w:rPr>
                <w:rFonts w:ascii="Times New Roman" w:hAnsi="Times New Roman"/>
                <w:sz w:val="24"/>
                <w:szCs w:val="24"/>
              </w:rPr>
              <w:t>纽伯格共同控制。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1、</w:t>
            </w:r>
            <w:r>
              <w:rPr>
                <w:rFonts w:ascii="Times New Roman" w:hAnsi="Times New Roman"/>
                <w:sz w:val="24"/>
                <w:szCs w:val="24"/>
              </w:rPr>
              <w:t>合众道远有限公司</w:t>
            </w:r>
          </w:p>
        </w:tc>
        <w:tc>
          <w:tcPr>
            <w:tcW w:w="5153" w:type="dxa"/>
          </w:tcPr>
          <w:p>
            <w:pPr>
              <w:spacing w:before="120" w:after="120"/>
              <w:rPr>
                <w:rFonts w:ascii="Times New Roman" w:hAnsi="Times New Roman"/>
                <w:color w:val="333333"/>
                <w:kern w:val="0"/>
                <w:sz w:val="24"/>
                <w:szCs w:val="24"/>
              </w:rPr>
            </w:pPr>
            <w:r>
              <w:rPr>
                <w:rFonts w:ascii="Times New Roman" w:hAnsi="Times New Roman"/>
                <w:sz w:val="24"/>
                <w:szCs w:val="24"/>
              </w:rPr>
              <w:t>合众道远有限公司于1996年1月12日在瑞士成立。合众道远有限公司（与其关联方合称为“</w:t>
            </w:r>
            <w:r>
              <w:rPr>
                <w:rFonts w:ascii="Times New Roman" w:hAnsi="Times New Roman"/>
                <w:b/>
                <w:bCs/>
                <w:sz w:val="24"/>
                <w:szCs w:val="24"/>
              </w:rPr>
              <w:t>合众道远集团</w:t>
            </w:r>
            <w:r>
              <w:rPr>
                <w:rFonts w:ascii="Times New Roman" w:hAnsi="Times New Roman"/>
                <w:sz w:val="24"/>
                <w:szCs w:val="24"/>
              </w:rPr>
              <w:t>”）是一家全球私募市场投资管理公司。合众道远集团为寻找直接接触私募市场资产的国际机构投资人提供广泛的投资基金选择和专门定制的投资组合公司。合众道远集团的最终控制人为合众道远控股有限公司。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1796" w:type="dxa"/>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2、</w:t>
            </w:r>
            <w:r>
              <w:rPr>
                <w:rFonts w:ascii="Times New Roman" w:hAnsi="Times New Roman"/>
                <w:sz w:val="24"/>
                <w:szCs w:val="24"/>
              </w:rPr>
              <w:t>科尔伯格</w:t>
            </w:r>
          </w:p>
        </w:tc>
        <w:tc>
          <w:tcPr>
            <w:tcW w:w="5153" w:type="dxa"/>
          </w:tcPr>
          <w:p>
            <w:pPr>
              <w:snapToGrid w:val="0"/>
              <w:spacing w:before="120" w:after="120"/>
              <w:rPr>
                <w:rFonts w:ascii="Times New Roman" w:hAnsi="Times New Roman"/>
                <w:color w:val="000000" w:themeColor="text1"/>
                <w:sz w:val="24"/>
                <w:szCs w:val="24"/>
                <w14:textFill>
                  <w14:solidFill>
                    <w14:schemeClr w14:val="tx1"/>
                  </w14:solidFill>
                </w14:textFill>
              </w:rPr>
            </w:pPr>
            <w:r>
              <w:rPr>
                <w:rFonts w:ascii="Times New Roman" w:hAnsi="Times New Roman"/>
                <w:sz w:val="24"/>
                <w:szCs w:val="24"/>
              </w:rPr>
              <w:t>科尔伯格于1995年7月28日在美国特拉华州成立。</w:t>
            </w:r>
            <w:r>
              <w:rPr>
                <w:rFonts w:ascii="Times New Roman" w:hAnsi="Times New Roman"/>
                <w:color w:val="000000" w:themeColor="text1"/>
                <w:sz w:val="24"/>
                <w:szCs w:val="24"/>
                <w14:textFill>
                  <w14:solidFill>
                    <w14:schemeClr w14:val="tx1"/>
                  </w14:solidFill>
                </w14:textFill>
              </w:rPr>
              <w:t>科尔伯格是一家专门投资于中型市场公司的美国私募股权管理公司，其投资组合公司在下列六个专业核心业务领域开展业务：医药/医疗产品和服务；基础设施服务；金融和信息服务；商业服务；保健服务；以及食品和消费。</w:t>
            </w:r>
            <w:r>
              <w:rPr>
                <w:rFonts w:ascii="Times New Roman" w:hAnsi="Times New Roman"/>
                <w:sz w:val="24"/>
                <w:szCs w:val="24"/>
              </w:rPr>
              <w:t>科尔伯格的最终控制人为一名自然人，其控制着科尔伯格集团。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1796" w:type="dxa"/>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 xml:space="preserve">3. </w:t>
            </w:r>
            <w:r>
              <w:rPr>
                <w:rFonts w:ascii="Times New Roman" w:hAnsi="Times New Roman"/>
                <w:sz w:val="24"/>
                <w:szCs w:val="24"/>
              </w:rPr>
              <w:t>穆巴达拉</w:t>
            </w:r>
          </w:p>
        </w:tc>
        <w:tc>
          <w:tcPr>
            <w:tcW w:w="5153" w:type="dxa"/>
          </w:tcPr>
          <w:p>
            <w:pPr>
              <w:spacing w:before="120" w:after="120"/>
              <w:rPr>
                <w:rFonts w:ascii="Times New Roman" w:hAnsi="Times New Roman"/>
                <w:color w:val="333333"/>
                <w:kern w:val="0"/>
                <w:sz w:val="24"/>
                <w:szCs w:val="24"/>
              </w:rPr>
            </w:pPr>
            <w:r>
              <w:rPr>
                <w:rFonts w:ascii="Times New Roman" w:hAnsi="Times New Roman"/>
                <w:sz w:val="24"/>
                <w:szCs w:val="24"/>
              </w:rPr>
              <w:t>穆巴达拉于2017年3月21日成立于阿拉伯联合酋长国阿布扎比。截至2021年1月，穆巴达拉集团通过以下四个投资平台运营并进行投资：（1）对多个工业和商业领域的国家投资；（2）对包括能源、化工、技术、生命科学、消费、工业和金融服务在内的一系列领域进行直接投资；（3）对下一代公司、本地合作和信贷投资的投资；以及（4）对世界各地的实物资产的投资，包括房产和不动产投资以及实物和数字基础设施。穆巴达拉</w:t>
            </w:r>
            <w:r>
              <w:rPr>
                <w:rFonts w:hint="eastAsia" w:ascii="Times New Roman" w:hAnsi="Times New Roman"/>
                <w:sz w:val="24"/>
                <w:szCs w:val="24"/>
              </w:rPr>
              <w:t>由阿布扎比酋长国政府全资拥有。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1796" w:type="dxa"/>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 xml:space="preserve">4. </w:t>
            </w:r>
            <w:r>
              <w:rPr>
                <w:rFonts w:ascii="Times New Roman" w:hAnsi="Times New Roman"/>
                <w:sz w:val="24"/>
                <w:szCs w:val="24"/>
              </w:rPr>
              <w:t>纽伯格</w:t>
            </w:r>
          </w:p>
        </w:tc>
        <w:tc>
          <w:tcPr>
            <w:tcW w:w="5153" w:type="dxa"/>
          </w:tcPr>
          <w:p>
            <w:pPr>
              <w:spacing w:before="120" w:after="120"/>
              <w:rPr>
                <w:rFonts w:ascii="Times New Roman" w:hAnsi="Times New Roman"/>
                <w:sz w:val="24"/>
                <w:szCs w:val="24"/>
              </w:rPr>
            </w:pPr>
            <w:r>
              <w:rPr>
                <w:rFonts w:ascii="Times New Roman" w:hAnsi="Times New Roman"/>
                <w:sz w:val="24"/>
                <w:szCs w:val="24"/>
              </w:rPr>
              <w:t>纽伯格于2009年2月19日成立于美国特拉华州。纽伯格及其关联方为全球的机构法人、投资顾问和个别投资人管理一系列股票、固定收益、量化和多资产类别、私募股权、不动产和对冲基金等投资组合</w:t>
            </w:r>
            <w:r>
              <w:rPr>
                <w:rFonts w:hint="eastAsia" w:ascii="Times New Roman" w:hAnsi="Times New Roman"/>
                <w:sz w:val="24"/>
                <w:szCs w:val="24"/>
              </w:rPr>
              <w:t>。</w:t>
            </w:r>
            <w:r>
              <w:rPr>
                <w:rFonts w:ascii="Times New Roman" w:hAnsi="Times New Roman"/>
                <w:sz w:val="24"/>
                <w:szCs w:val="24"/>
              </w:rPr>
              <w:t>纽伯格的最终控制人为NBSH收购有限公司。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000000" w:themeColor="text1"/>
                <w:kern w:val="0"/>
                <w:sz w:val="24"/>
                <w:szCs w:val="24"/>
                <w14:textFill>
                  <w14:solidFill>
                    <w14:schemeClr w14:val="tx1"/>
                  </w14:solidFill>
                </w14:textFill>
              </w:rPr>
              <w:sym w:font="Wingdings" w:char="F0A8"/>
            </w:r>
            <w:r>
              <w:rPr>
                <w:rFonts w:ascii="Times New Roman" w:hAnsi="Times New Roman"/>
                <w:color w:val="333333"/>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000000" w:themeColor="text1"/>
                <w:kern w:val="0"/>
                <w:sz w:val="24"/>
                <w:szCs w:val="24"/>
                <w14:textFill>
                  <w14:solidFill>
                    <w14:schemeClr w14:val="tx1"/>
                  </w14:solidFill>
                </w14:textFill>
              </w:rPr>
              <w:sym w:font="Wingdings" w:char="F0A8"/>
            </w:r>
            <w:r>
              <w:rPr>
                <w:rFonts w:ascii="Times New Roman" w:hAnsi="Times New Roman"/>
                <w:color w:val="333333"/>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000000" w:themeColor="text1"/>
                <w:kern w:val="0"/>
                <w:sz w:val="24"/>
                <w:szCs w:val="24"/>
                <w14:textFill>
                  <w14:solidFill>
                    <w14:schemeClr w14:val="tx1"/>
                  </w14:solidFill>
                </w14:textFill>
              </w:rPr>
              <w:sym w:font="Wingdings" w:char="F0A8"/>
            </w:r>
            <w:r>
              <w:rPr>
                <w:rFonts w:ascii="Times New Roman" w:hAnsi="Times New Roman"/>
                <w:color w:val="333333"/>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000000" w:themeColor="text1"/>
                <w:kern w:val="0"/>
                <w:sz w:val="24"/>
                <w:szCs w:val="24"/>
                <w14:textFill>
                  <w14:solidFill>
                    <w14:schemeClr w14:val="tx1"/>
                  </w14:solidFill>
                </w14:textFill>
              </w:rPr>
              <w:sym w:font="Wingdings" w:char="F0A8"/>
            </w:r>
            <w:r>
              <w:rPr>
                <w:rFonts w:ascii="Times New Roman" w:hAnsi="Times New Roman"/>
                <w:color w:val="333333"/>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bCs/>
                <w:sz w:val="24"/>
                <w:szCs w:val="24"/>
              </w:rPr>
              <w:sym w:font="Wingdings" w:char="F0FE"/>
            </w:r>
            <w:r>
              <w:rPr>
                <w:rFonts w:ascii="Times New Roman" w:hAnsi="Times New Roman"/>
                <w:bCs/>
                <w:sz w:val="24"/>
                <w:szCs w:val="24"/>
              </w:rPr>
              <w:t xml:space="preserve"> </w:t>
            </w: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20" w:after="120"/>
              <w:jc w:val="center"/>
              <w:rPr>
                <w:rFonts w:ascii="Times New Roman" w:hAnsi="Times New Roman"/>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000000" w:themeColor="text1"/>
                <w:kern w:val="0"/>
                <w:sz w:val="24"/>
                <w:szCs w:val="24"/>
                <w14:textFill>
                  <w14:solidFill>
                    <w14:schemeClr w14:val="tx1"/>
                  </w14:solidFill>
                </w14:textFill>
              </w:rPr>
              <w:sym w:font="Wingdings" w:char="F0A8"/>
            </w:r>
            <w:r>
              <w:rPr>
                <w:rFonts w:ascii="Times New Roman" w:hAnsi="Times New Roman"/>
                <w:color w:val="333333"/>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120" w:after="120"/>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不适用</w:t>
            </w:r>
          </w:p>
        </w:tc>
      </w:tr>
    </w:tbl>
    <w:p>
      <w:pPr>
        <w:snapToGrid w:val="0"/>
        <w:spacing w:before="120" w:after="120"/>
        <w:jc w:val="left"/>
        <w:rPr>
          <w:rFonts w:ascii="Times New Roman" w:hAnsi="Times New Roman"/>
          <w:sz w:val="24"/>
          <w:szCs w:val="24"/>
        </w:rPr>
      </w:pPr>
    </w:p>
    <w:p>
      <w:pPr>
        <w:spacing w:line="288" w:lineRule="auto"/>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SimHei">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A17A5"/>
    <w:rsid w:val="000B60FE"/>
    <w:rsid w:val="000D7EBA"/>
    <w:rsid w:val="000F09E4"/>
    <w:rsid w:val="001164CD"/>
    <w:rsid w:val="00117077"/>
    <w:rsid w:val="00155717"/>
    <w:rsid w:val="001837A3"/>
    <w:rsid w:val="001C0F59"/>
    <w:rsid w:val="001F2F0C"/>
    <w:rsid w:val="0022283F"/>
    <w:rsid w:val="00253990"/>
    <w:rsid w:val="002E763C"/>
    <w:rsid w:val="002E7C38"/>
    <w:rsid w:val="0030690D"/>
    <w:rsid w:val="00334E85"/>
    <w:rsid w:val="003C0AEB"/>
    <w:rsid w:val="00407814"/>
    <w:rsid w:val="00417065"/>
    <w:rsid w:val="00461098"/>
    <w:rsid w:val="00461743"/>
    <w:rsid w:val="00477395"/>
    <w:rsid w:val="004D52DA"/>
    <w:rsid w:val="004F7688"/>
    <w:rsid w:val="00521ED3"/>
    <w:rsid w:val="00536220"/>
    <w:rsid w:val="00540A22"/>
    <w:rsid w:val="005712C7"/>
    <w:rsid w:val="0059195B"/>
    <w:rsid w:val="005970CF"/>
    <w:rsid w:val="005E2307"/>
    <w:rsid w:val="006467D8"/>
    <w:rsid w:val="006629EC"/>
    <w:rsid w:val="006827FB"/>
    <w:rsid w:val="006915BA"/>
    <w:rsid w:val="006A531B"/>
    <w:rsid w:val="006F7693"/>
    <w:rsid w:val="007038EF"/>
    <w:rsid w:val="00710140"/>
    <w:rsid w:val="00796860"/>
    <w:rsid w:val="007D2319"/>
    <w:rsid w:val="007E226D"/>
    <w:rsid w:val="007F2275"/>
    <w:rsid w:val="00870CDE"/>
    <w:rsid w:val="008A4F57"/>
    <w:rsid w:val="00910616"/>
    <w:rsid w:val="00915F0F"/>
    <w:rsid w:val="009532DF"/>
    <w:rsid w:val="00983488"/>
    <w:rsid w:val="00997019"/>
    <w:rsid w:val="009A5029"/>
    <w:rsid w:val="009B4CA6"/>
    <w:rsid w:val="009D38D5"/>
    <w:rsid w:val="00A1009D"/>
    <w:rsid w:val="00A34E5F"/>
    <w:rsid w:val="00A47DE4"/>
    <w:rsid w:val="00A53F26"/>
    <w:rsid w:val="00AA0CC5"/>
    <w:rsid w:val="00AD2DD0"/>
    <w:rsid w:val="00B0177C"/>
    <w:rsid w:val="00B06DF0"/>
    <w:rsid w:val="00B16AFE"/>
    <w:rsid w:val="00B65DD5"/>
    <w:rsid w:val="00B7663D"/>
    <w:rsid w:val="00B82B2C"/>
    <w:rsid w:val="00BD10B6"/>
    <w:rsid w:val="00BF7257"/>
    <w:rsid w:val="00C07076"/>
    <w:rsid w:val="00C8410F"/>
    <w:rsid w:val="00CB00DF"/>
    <w:rsid w:val="00CC1D29"/>
    <w:rsid w:val="00CC43B2"/>
    <w:rsid w:val="00D15DA8"/>
    <w:rsid w:val="00D73C72"/>
    <w:rsid w:val="00DF26E1"/>
    <w:rsid w:val="00DF2F2B"/>
    <w:rsid w:val="00E0592B"/>
    <w:rsid w:val="00E137EB"/>
    <w:rsid w:val="00E30639"/>
    <w:rsid w:val="00E31738"/>
    <w:rsid w:val="00E46EE1"/>
    <w:rsid w:val="00E56B89"/>
    <w:rsid w:val="00E86786"/>
    <w:rsid w:val="00EB15BE"/>
    <w:rsid w:val="00ED2F80"/>
    <w:rsid w:val="00F1624E"/>
    <w:rsid w:val="00F24A75"/>
    <w:rsid w:val="00F32F8A"/>
    <w:rsid w:val="00F3578B"/>
    <w:rsid w:val="00F4485C"/>
    <w:rsid w:val="00F50AD1"/>
    <w:rsid w:val="00F810AA"/>
    <w:rsid w:val="00F909B2"/>
    <w:rsid w:val="00FB43EC"/>
    <w:rsid w:val="00FB6B40"/>
    <w:rsid w:val="EFB085B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pPr>
  </w:style>
  <w:style w:type="paragraph" w:styleId="3">
    <w:name w:val="header"/>
    <w:basedOn w:val="1"/>
    <w:link w:val="6"/>
    <w:unhideWhenUsed/>
    <w:qFormat/>
    <w:uiPriority w:val="99"/>
    <w:pPr>
      <w:tabs>
        <w:tab w:val="center" w:pos="4153"/>
        <w:tab w:val="right" w:pos="8306"/>
      </w:tabs>
    </w:pPr>
  </w:style>
  <w:style w:type="character" w:customStyle="1" w:styleId="6">
    <w:name w:val="Header Char"/>
    <w:basedOn w:val="5"/>
    <w:link w:val="3"/>
    <w:qFormat/>
    <w:uiPriority w:val="99"/>
    <w:rPr>
      <w:rFonts w:ascii="Calibri" w:hAnsi="Calibri" w:eastAsia="宋体" w:cs="Times New Roman"/>
    </w:rPr>
  </w:style>
  <w:style w:type="character" w:customStyle="1" w:styleId="7">
    <w:name w:val="Footer Char"/>
    <w:basedOn w:val="5"/>
    <w:link w:val="2"/>
    <w:qFormat/>
    <w:uiPriority w:val="99"/>
    <w:rPr>
      <w:rFonts w:ascii="Calibri" w:hAnsi="Calibri" w:eastAsia="宋体"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46</TotalTime>
  <ScaleCrop>false</ScaleCrop>
  <LinksUpToDate>false</LinksUpToDate>
  <Application>WPS Office_11.8.2.10458_F1E327BC-269C-435d-A152-05C5408002CA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2022-09-01T16:46:36Z</dcterms:created>
  <dc:creator>greatwall</dc:creator>
  <cp:lastModifiedBy>greatwall</cp:lastModifiedBy>
  <dcterms:modified xsi:type="dcterms:W3CDTF">2022-09-01T17:33:20Z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