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napToGrid w:val="0"/>
        <w:spacing w:before="100" w:beforeAutospacing="1" w:after="100" w:afterAutospacing="1"/>
        <w:jc w:val="left"/>
        <w:rPr>
          <w:rFonts w:ascii="Times New Roman" w:hAnsi="Times New Roman"/>
          <w:b/>
          <w:szCs w:val="21"/>
        </w:rPr>
      </w:pPr>
      <w:r>
        <w:rPr>
          <w:rFonts w:hint="eastAsia" w:ascii="Times New Roman" w:hAnsi="Times New Roman"/>
          <w:b/>
          <w:szCs w:val="21"/>
        </w:rPr>
        <w:t>附件2</w:t>
      </w:r>
    </w:p>
    <w:p>
      <w:pPr>
        <w:spacing w:line="440" w:lineRule="exact"/>
        <w:jc w:val="center"/>
        <w:rPr>
          <w:rFonts w:ascii="黑体" w:hAnsi="Times New Roman" w:eastAsia="黑体"/>
          <w:sz w:val="30"/>
          <w:szCs w:val="30"/>
        </w:rPr>
      </w:pPr>
      <w:r>
        <w:rPr>
          <w:rFonts w:hint="eastAsia" w:ascii="黑体" w:hAnsi="Times New Roman" w:eastAsia="黑体"/>
          <w:sz w:val="30"/>
          <w:szCs w:val="30"/>
        </w:rPr>
        <w:t>经营者集中简易案件公示表</w:t>
      </w:r>
    </w:p>
    <w:p>
      <w:pPr>
        <w:spacing w:line="440" w:lineRule="exact"/>
        <w:rPr>
          <w:rFonts w:ascii="黑体" w:hAnsi="Times New Roman" w:eastAsia="黑体"/>
          <w:sz w:val="28"/>
          <w:szCs w:val="28"/>
        </w:rPr>
      </w:pPr>
    </w:p>
    <w:p>
      <w:pPr>
        <w:spacing w:line="440" w:lineRule="exact"/>
        <w:ind w:firstLine="845" w:firstLineChars="302"/>
        <w:rPr>
          <w:rFonts w:ascii="仿宋_GB2312" w:hAnsi="Times New Roman" w:eastAsia="仿宋_GB2312"/>
          <w:sz w:val="28"/>
          <w:szCs w:val="28"/>
        </w:rPr>
      </w:pPr>
    </w:p>
    <w:tbl>
      <w:tblPr>
        <w:tblStyle w:val="2"/>
        <w:tblW w:w="87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9"/>
        <w:gridCol w:w="1796"/>
        <w:gridCol w:w="51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案件名称</w:t>
            </w:r>
          </w:p>
        </w:tc>
        <w:tc>
          <w:tcPr>
            <w:tcW w:w="6949" w:type="dxa"/>
            <w:gridSpan w:val="2"/>
          </w:tcPr>
          <w:p>
            <w:pPr>
              <w:spacing w:line="500" w:lineRule="exact"/>
              <w:rPr>
                <w:rFonts w:hint="eastAsia" w:ascii="仿宋" w:hAnsi="仿宋" w:eastAsia="仿宋" w:cs="仿宋"/>
                <w:b w:val="0"/>
                <w:bCs w:val="0"/>
                <w:color w:val="auto"/>
                <w:kern w:val="0"/>
                <w:sz w:val="24"/>
                <w:szCs w:val="24"/>
              </w:rPr>
            </w:pPr>
            <w:r>
              <w:rPr>
                <w:rFonts w:hint="eastAsia" w:ascii="仿宋" w:hAnsi="仿宋" w:eastAsia="仿宋" w:cs="仿宋"/>
                <w:b w:val="0"/>
                <w:bCs w:val="0"/>
                <w:color w:val="auto"/>
                <w:kern w:val="0"/>
                <w:sz w:val="24"/>
                <w:szCs w:val="24"/>
              </w:rPr>
              <w:t>扬州广旅开发建设有限公司与特来电新能源股份有限公司新设合营企业案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3" w:hRule="atLeast"/>
        </w:trPr>
        <w:tc>
          <w:tcPr>
            <w:tcW w:w="1809" w:type="dxa"/>
            <w:shd w:val="clear" w:color="auto" w:fill="D9D9D9"/>
            <w:vAlign w:val="center"/>
          </w:tcPr>
          <w:p>
            <w:pPr>
              <w:spacing w:line="500" w:lineRule="exact"/>
              <w:jc w:val="center"/>
              <w:rPr>
                <w:rFonts w:hint="eastAsia" w:ascii="仿宋" w:hAnsi="仿宋" w:eastAsia="仿宋" w:cs="宋体"/>
                <w:color w:val="333333"/>
                <w:kern w:val="0"/>
                <w:sz w:val="24"/>
                <w:szCs w:val="24"/>
              </w:rPr>
            </w:pPr>
            <w:r>
              <w:rPr>
                <w:rFonts w:hint="eastAsia" w:ascii="仿宋" w:hAnsi="仿宋" w:eastAsia="仿宋" w:cs="宋体"/>
                <w:color w:val="333333"/>
                <w:kern w:val="0"/>
                <w:sz w:val="24"/>
                <w:szCs w:val="24"/>
              </w:rPr>
              <w:t>交易概况</w:t>
            </w:r>
          </w:p>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（限200字内）</w:t>
            </w:r>
          </w:p>
        </w:tc>
        <w:tc>
          <w:tcPr>
            <w:tcW w:w="6949" w:type="dxa"/>
            <w:gridSpan w:val="2"/>
          </w:tcPr>
          <w:p>
            <w:pPr>
              <w:widowControl/>
              <w:snapToGrid w:val="0"/>
              <w:jc w:val="left"/>
              <w:rPr>
                <w:rFonts w:hint="eastAsia" w:ascii="仿宋" w:hAnsi="仿宋" w:eastAsia="仿宋" w:cs="仿宋"/>
                <w:b w:val="0"/>
                <w:bCs w:val="0"/>
                <w:color w:val="auto"/>
                <w:kern w:val="0"/>
                <w:sz w:val="24"/>
                <w:szCs w:val="24"/>
                <w:lang w:val="en-US" w:eastAsia="zh-CN"/>
              </w:rPr>
            </w:pPr>
            <w:r>
              <w:rPr>
                <w:rFonts w:hint="eastAsia" w:ascii="仿宋" w:hAnsi="仿宋" w:eastAsia="仿宋" w:cs="仿宋"/>
                <w:b w:val="0"/>
                <w:bCs w:val="0"/>
                <w:color w:val="auto"/>
                <w:kern w:val="0"/>
                <w:sz w:val="24"/>
                <w:szCs w:val="24"/>
              </w:rPr>
              <w:t>扬州广旅开发建设有限公司</w:t>
            </w:r>
            <w:r>
              <w:rPr>
                <w:rFonts w:hint="eastAsia" w:ascii="仿宋" w:hAnsi="仿宋" w:eastAsia="仿宋" w:cs="仿宋"/>
                <w:b w:val="0"/>
                <w:bCs w:val="0"/>
                <w:color w:val="auto"/>
                <w:kern w:val="0"/>
                <w:sz w:val="24"/>
                <w:szCs w:val="24"/>
                <w:lang w:eastAsia="zh-CN"/>
              </w:rPr>
              <w:t>（“</w:t>
            </w:r>
            <w:r>
              <w:rPr>
                <w:rFonts w:hint="eastAsia" w:ascii="仿宋" w:hAnsi="仿宋" w:eastAsia="仿宋" w:cs="仿宋"/>
                <w:b w:val="0"/>
                <w:bCs w:val="0"/>
                <w:color w:val="auto"/>
                <w:kern w:val="0"/>
                <w:sz w:val="24"/>
                <w:szCs w:val="24"/>
                <w:lang w:val="en-US" w:eastAsia="zh-CN"/>
              </w:rPr>
              <w:t>广旅公司</w:t>
            </w:r>
            <w:r>
              <w:rPr>
                <w:rFonts w:hint="eastAsia" w:ascii="仿宋" w:hAnsi="仿宋" w:eastAsia="仿宋" w:cs="仿宋"/>
                <w:b w:val="0"/>
                <w:bCs w:val="0"/>
                <w:color w:val="auto"/>
                <w:kern w:val="0"/>
                <w:sz w:val="24"/>
                <w:szCs w:val="24"/>
                <w:lang w:eastAsia="zh-CN"/>
              </w:rPr>
              <w:t>”）</w:t>
            </w:r>
            <w:r>
              <w:rPr>
                <w:rFonts w:hint="eastAsia" w:ascii="仿宋" w:hAnsi="仿宋" w:eastAsia="仿宋" w:cs="仿宋"/>
                <w:b w:val="0"/>
                <w:bCs w:val="0"/>
                <w:color w:val="auto"/>
                <w:kern w:val="0"/>
                <w:sz w:val="24"/>
                <w:szCs w:val="24"/>
              </w:rPr>
              <w:t>与特来电新能源股份有限公司</w:t>
            </w:r>
            <w:r>
              <w:rPr>
                <w:rFonts w:hint="eastAsia" w:ascii="仿宋" w:hAnsi="仿宋" w:eastAsia="仿宋" w:cs="仿宋"/>
                <w:b w:val="0"/>
                <w:bCs w:val="0"/>
                <w:color w:val="auto"/>
                <w:kern w:val="0"/>
                <w:sz w:val="24"/>
                <w:szCs w:val="24"/>
                <w:lang w:eastAsia="zh-CN"/>
              </w:rPr>
              <w:t>（“</w:t>
            </w:r>
            <w:r>
              <w:rPr>
                <w:rFonts w:hint="eastAsia" w:ascii="仿宋" w:hAnsi="仿宋" w:eastAsia="仿宋" w:cs="仿宋"/>
                <w:b w:val="0"/>
                <w:bCs w:val="0"/>
                <w:color w:val="auto"/>
                <w:kern w:val="0"/>
                <w:sz w:val="24"/>
                <w:szCs w:val="24"/>
                <w:lang w:val="en-US" w:eastAsia="zh-CN"/>
              </w:rPr>
              <w:t>特来电公司</w:t>
            </w:r>
            <w:r>
              <w:rPr>
                <w:rFonts w:hint="eastAsia" w:ascii="仿宋" w:hAnsi="仿宋" w:eastAsia="仿宋" w:cs="仿宋"/>
                <w:b w:val="0"/>
                <w:bCs w:val="0"/>
                <w:color w:val="auto"/>
                <w:kern w:val="0"/>
                <w:sz w:val="24"/>
                <w:szCs w:val="24"/>
                <w:lang w:eastAsia="zh-CN"/>
              </w:rPr>
              <w:t>”）</w:t>
            </w:r>
            <w:r>
              <w:rPr>
                <w:rFonts w:hint="eastAsia" w:ascii="仿宋" w:hAnsi="仿宋" w:eastAsia="仿宋" w:cs="仿宋"/>
                <w:b w:val="0"/>
                <w:bCs w:val="0"/>
                <w:color w:val="auto"/>
                <w:kern w:val="0"/>
                <w:sz w:val="24"/>
                <w:szCs w:val="24"/>
                <w:lang w:val="en-US" w:eastAsia="zh-CN"/>
              </w:rPr>
              <w:t>拟</w:t>
            </w:r>
            <w:r>
              <w:rPr>
                <w:rFonts w:hint="eastAsia" w:ascii="仿宋" w:hAnsi="仿宋" w:eastAsia="仿宋" w:cs="仿宋"/>
                <w:b w:val="0"/>
                <w:bCs w:val="0"/>
                <w:color w:val="auto"/>
                <w:kern w:val="0"/>
                <w:sz w:val="24"/>
                <w:szCs w:val="24"/>
              </w:rPr>
              <w:t>新设合营企业</w:t>
            </w:r>
            <w:r>
              <w:rPr>
                <w:rFonts w:hint="eastAsia" w:ascii="仿宋" w:hAnsi="仿宋" w:eastAsia="仿宋" w:cs="仿宋"/>
                <w:b w:val="0"/>
                <w:bCs w:val="0"/>
                <w:color w:val="auto"/>
                <w:kern w:val="0"/>
                <w:sz w:val="24"/>
                <w:szCs w:val="24"/>
                <w:lang w:eastAsia="zh-CN"/>
              </w:rPr>
              <w:t>，</w:t>
            </w:r>
            <w:r>
              <w:rPr>
                <w:rFonts w:hint="eastAsia" w:ascii="仿宋" w:hAnsi="仿宋" w:eastAsia="仿宋" w:cs="仿宋"/>
                <w:b w:val="0"/>
                <w:bCs w:val="0"/>
                <w:color w:val="auto"/>
                <w:sz w:val="24"/>
                <w:szCs w:val="24"/>
                <w:lang w:val="en-US" w:eastAsia="zh-CN"/>
              </w:rPr>
              <w:t>本次交易完成后，广旅公司和特来电公司将共同控制合营企业，从事电动汽车充电服务业务。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1809" w:type="dxa"/>
            <w:vMerge w:val="restart"/>
            <w:shd w:val="clear" w:color="auto" w:fill="D9D9D9"/>
            <w:vAlign w:val="center"/>
          </w:tcPr>
          <w:p>
            <w:pPr>
              <w:spacing w:line="500" w:lineRule="exact"/>
              <w:jc w:val="center"/>
              <w:rPr>
                <w:rFonts w:hint="eastAsia" w:ascii="仿宋" w:hAnsi="仿宋" w:eastAsia="仿宋" w:cs="宋体"/>
                <w:color w:val="333333"/>
                <w:kern w:val="0"/>
                <w:sz w:val="24"/>
                <w:szCs w:val="24"/>
              </w:rPr>
            </w:pPr>
            <w:r>
              <w:rPr>
                <w:rFonts w:hint="eastAsia" w:ascii="仿宋" w:hAnsi="仿宋" w:eastAsia="仿宋" w:cs="宋体"/>
                <w:color w:val="333333"/>
                <w:kern w:val="0"/>
                <w:sz w:val="24"/>
                <w:szCs w:val="24"/>
              </w:rPr>
              <w:t>参与集中的</w:t>
            </w:r>
          </w:p>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经营者简介</w:t>
            </w:r>
          </w:p>
        </w:tc>
        <w:tc>
          <w:tcPr>
            <w:tcW w:w="1796" w:type="dxa"/>
          </w:tcPr>
          <w:p>
            <w:pPr>
              <w:spacing w:line="500" w:lineRule="exact"/>
              <w:rPr>
                <w:rFonts w:hint="eastAsia" w:ascii="仿宋" w:hAnsi="仿宋" w:eastAsia="仿宋" w:cs="仿宋"/>
                <w:b w:val="0"/>
                <w:bCs w:val="0"/>
                <w:color w:val="auto"/>
                <w:kern w:val="0"/>
                <w:sz w:val="24"/>
                <w:szCs w:val="24"/>
              </w:rPr>
            </w:pPr>
            <w:r>
              <w:rPr>
                <w:rFonts w:hint="eastAsia" w:ascii="仿宋" w:hAnsi="仿宋" w:eastAsia="仿宋" w:cs="仿宋"/>
                <w:b w:val="0"/>
                <w:bCs w:val="0"/>
                <w:color w:val="auto"/>
                <w:kern w:val="0"/>
                <w:sz w:val="24"/>
                <w:szCs w:val="24"/>
              </w:rPr>
              <w:t>1、扬州广旅开发建设有限公司</w:t>
            </w:r>
          </w:p>
        </w:tc>
        <w:tc>
          <w:tcPr>
            <w:tcW w:w="5153" w:type="dxa"/>
          </w:tcPr>
          <w:p>
            <w:pPr>
              <w:spacing w:line="500" w:lineRule="exact"/>
              <w:rPr>
                <w:rFonts w:hint="eastAsia" w:ascii="仿宋" w:hAnsi="仿宋" w:eastAsia="仿宋" w:cs="仿宋"/>
                <w:b w:val="0"/>
                <w:bCs w:val="0"/>
                <w:color w:val="auto"/>
                <w:kern w:val="0"/>
                <w:sz w:val="24"/>
                <w:szCs w:val="24"/>
                <w:lang w:val="en-US" w:eastAsia="zh-CN"/>
              </w:rPr>
            </w:pPr>
            <w:r>
              <w:rPr>
                <w:rFonts w:hint="eastAsia" w:ascii="仿宋" w:hAnsi="仿宋" w:eastAsia="仿宋" w:cs="仿宋"/>
                <w:b w:val="0"/>
                <w:bCs w:val="0"/>
                <w:color w:val="auto"/>
                <w:sz w:val="24"/>
                <w:szCs w:val="24"/>
                <w:lang w:val="en-US" w:eastAsia="zh-CN"/>
              </w:rPr>
              <w:t>广旅公司成立于2017年6月19日，是扬州市人民政府办公室间接控股的国有企业。广旅公司主要从事房屋建筑行业，包括房屋建筑和市政基础设施项目工程总承包、各类工程建设活动、房地产开发经营、园林绿化工程施工、非居住房地产租赁、市场营销策划、信息咨询服务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1796" w:type="dxa"/>
          </w:tcPr>
          <w:p>
            <w:pPr>
              <w:spacing w:line="500" w:lineRule="exact"/>
              <w:rPr>
                <w:rFonts w:hint="eastAsia" w:ascii="仿宋" w:hAnsi="仿宋" w:eastAsia="仿宋" w:cs="仿宋"/>
                <w:b w:val="0"/>
                <w:bCs w:val="0"/>
                <w:color w:val="auto"/>
                <w:kern w:val="0"/>
                <w:sz w:val="24"/>
                <w:szCs w:val="24"/>
              </w:rPr>
            </w:pPr>
            <w:r>
              <w:rPr>
                <w:rFonts w:hint="eastAsia" w:ascii="仿宋" w:hAnsi="仿宋" w:eastAsia="仿宋" w:cs="仿宋"/>
                <w:b w:val="0"/>
                <w:bCs w:val="0"/>
                <w:color w:val="auto"/>
                <w:kern w:val="0"/>
                <w:sz w:val="24"/>
                <w:szCs w:val="24"/>
              </w:rPr>
              <w:t>2、特来电新能源股份有限公司</w:t>
            </w:r>
          </w:p>
        </w:tc>
        <w:tc>
          <w:tcPr>
            <w:tcW w:w="5153" w:type="dxa"/>
          </w:tcPr>
          <w:p>
            <w:pPr>
              <w:spacing w:line="500" w:lineRule="exact"/>
              <w:rPr>
                <w:rFonts w:hint="eastAsia" w:ascii="仿宋" w:hAnsi="仿宋" w:eastAsia="仿宋" w:cs="仿宋"/>
                <w:b w:val="0"/>
                <w:bCs w:val="0"/>
                <w:color w:val="auto"/>
                <w:kern w:val="0"/>
                <w:sz w:val="24"/>
                <w:szCs w:val="24"/>
                <w:lang w:val="en-US" w:eastAsia="zh-CN"/>
              </w:rPr>
            </w:pPr>
            <w:r>
              <w:rPr>
                <w:rFonts w:hint="eastAsia" w:ascii="仿宋" w:hAnsi="仿宋" w:eastAsia="仿宋" w:cs="仿宋"/>
                <w:b w:val="0"/>
                <w:bCs w:val="0"/>
                <w:color w:val="auto"/>
                <w:sz w:val="24"/>
                <w:szCs w:val="24"/>
                <w:lang w:val="en-US" w:eastAsia="zh-CN"/>
              </w:rPr>
              <w:t>特来电公司成立于2014年9月4日，最终控制人为于德翔先生，于德翔通过青岛德锐投资有限公司间接持股并控制特来电。特来电主要业务为生产及销售电动汽车充电桩，还基于充电桩网络提供电动汽车充电服务，允许电动汽车车主预约充电与结算费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809" w:type="dxa"/>
            <w:vMerge w:val="restart"/>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简易案件理由（可以单选，也可以多选）</w:t>
            </w: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sym w:font="Wingdings 2" w:char="0052"/>
            </w:r>
            <w:r>
              <w:rPr>
                <w:rFonts w:hint="eastAsia" w:ascii="仿宋" w:hAnsi="仿宋" w:eastAsia="仿宋" w:cs="宋体"/>
                <w:color w:val="333333"/>
                <w:kern w:val="0"/>
                <w:sz w:val="24"/>
                <w:szCs w:val="24"/>
              </w:rPr>
              <w:t>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备注</w:t>
            </w:r>
          </w:p>
        </w:tc>
        <w:tc>
          <w:tcPr>
            <w:tcW w:w="6949" w:type="dxa"/>
            <w:gridSpan w:val="2"/>
          </w:tcPr>
          <w:p>
            <w:pPr>
              <w:spacing w:line="500" w:lineRule="exact"/>
              <w:rPr>
                <w:rFonts w:hint="eastAsia" w:ascii="仿宋" w:hAnsi="仿宋" w:eastAsia="仿宋" w:cs="仿宋"/>
                <w:b w:val="0"/>
                <w:bCs/>
                <w:color w:val="auto"/>
                <w:kern w:val="0"/>
                <w:sz w:val="24"/>
                <w:szCs w:val="24"/>
                <w:lang w:eastAsia="zh-CN"/>
              </w:rPr>
            </w:pPr>
            <w:r>
              <w:rPr>
                <w:rFonts w:hint="eastAsia" w:ascii="仿宋" w:hAnsi="仿宋" w:eastAsia="仿宋" w:cs="仿宋"/>
                <w:b w:val="0"/>
                <w:bCs/>
                <w:color w:val="auto"/>
                <w:kern w:val="0"/>
                <w:sz w:val="24"/>
                <w:szCs w:val="24"/>
                <w:lang w:val="en-US" w:eastAsia="zh-CN"/>
              </w:rPr>
              <w:t>扬州市</w:t>
            </w:r>
            <w:r>
              <w:rPr>
                <w:rFonts w:hint="eastAsia" w:ascii="仿宋" w:hAnsi="仿宋" w:eastAsia="仿宋" w:cs="仿宋"/>
                <w:b w:val="0"/>
                <w:bCs/>
                <w:color w:val="auto"/>
                <w:kern w:val="0"/>
                <w:sz w:val="24"/>
                <w:szCs w:val="24"/>
              </w:rPr>
              <w:t>电动汽车充电服务市场</w:t>
            </w:r>
            <w:r>
              <w:rPr>
                <w:rFonts w:hint="eastAsia" w:ascii="仿宋" w:hAnsi="仿宋" w:eastAsia="仿宋" w:cs="仿宋"/>
                <w:b w:val="0"/>
                <w:bCs/>
                <w:color w:val="auto"/>
                <w:kern w:val="0"/>
                <w:sz w:val="24"/>
                <w:szCs w:val="24"/>
                <w:lang w:eastAsia="zh-CN"/>
              </w:rPr>
              <w:t>：</w:t>
            </w:r>
          </w:p>
          <w:p>
            <w:pPr>
              <w:numPr>
                <w:ilvl w:val="0"/>
                <w:numId w:val="1"/>
              </w:numPr>
              <w:spacing w:line="500" w:lineRule="exact"/>
              <w:ind w:left="420" w:leftChars="0" w:hanging="420" w:firstLineChars="0"/>
              <w:rPr>
                <w:rFonts w:hint="eastAsia" w:ascii="仿宋" w:hAnsi="仿宋" w:eastAsia="仿宋" w:cs="仿宋"/>
                <w:b w:val="0"/>
                <w:bCs/>
                <w:color w:val="auto"/>
                <w:kern w:val="0"/>
                <w:sz w:val="24"/>
                <w:szCs w:val="24"/>
                <w:lang w:val="en-US" w:eastAsia="zh-CN"/>
              </w:rPr>
            </w:pPr>
            <w:r>
              <w:rPr>
                <w:rFonts w:hint="eastAsia" w:ascii="仿宋" w:hAnsi="仿宋" w:eastAsia="仿宋" w:cs="仿宋"/>
                <w:b w:val="0"/>
                <w:bCs/>
                <w:color w:val="auto"/>
                <w:kern w:val="0"/>
                <w:sz w:val="24"/>
                <w:szCs w:val="24"/>
                <w:lang w:val="en-US" w:eastAsia="zh-CN"/>
              </w:rPr>
              <w:t>特来电公司：【10-15%】</w:t>
            </w:r>
          </w:p>
          <w:p>
            <w:pPr>
              <w:numPr>
                <w:ilvl w:val="0"/>
                <w:numId w:val="1"/>
              </w:numPr>
              <w:spacing w:line="500" w:lineRule="exact"/>
              <w:ind w:left="420" w:leftChars="0" w:hanging="420" w:firstLineChars="0"/>
              <w:rPr>
                <w:rFonts w:hint="eastAsia" w:ascii="仿宋" w:hAnsi="仿宋" w:eastAsia="仿宋" w:cs="仿宋"/>
                <w:b w:val="0"/>
                <w:bCs/>
                <w:color w:val="auto"/>
                <w:kern w:val="0"/>
                <w:sz w:val="24"/>
                <w:szCs w:val="24"/>
                <w:lang w:val="en-US" w:eastAsia="zh-CN"/>
              </w:rPr>
            </w:pPr>
            <w:r>
              <w:rPr>
                <w:rFonts w:hint="eastAsia" w:ascii="仿宋" w:hAnsi="仿宋" w:eastAsia="仿宋" w:cs="仿宋"/>
                <w:b w:val="0"/>
                <w:bCs/>
                <w:color w:val="auto"/>
                <w:kern w:val="0"/>
                <w:sz w:val="24"/>
                <w:szCs w:val="24"/>
                <w:lang w:val="en-US" w:eastAsia="zh-CN"/>
              </w:rPr>
              <w:t>广旅公司：【0】</w:t>
            </w:r>
          </w:p>
          <w:p>
            <w:pPr>
              <w:spacing w:line="500" w:lineRule="exact"/>
              <w:rPr>
                <w:rFonts w:hint="eastAsia" w:ascii="仿宋" w:hAnsi="仿宋" w:eastAsia="仿宋" w:cs="仿宋"/>
                <w:b w:val="0"/>
                <w:bCs/>
                <w:color w:val="auto"/>
                <w:kern w:val="0"/>
                <w:sz w:val="24"/>
                <w:szCs w:val="24"/>
                <w:lang w:val="en-US" w:eastAsia="zh-CN"/>
              </w:rPr>
            </w:pPr>
            <w:r>
              <w:rPr>
                <w:rFonts w:hint="eastAsia" w:ascii="仿宋" w:hAnsi="仿宋" w:eastAsia="仿宋" w:cs="仿宋"/>
                <w:b w:val="0"/>
                <w:bCs/>
                <w:color w:val="auto"/>
                <w:kern w:val="0"/>
                <w:sz w:val="24"/>
                <w:szCs w:val="24"/>
                <w:lang w:val="en-US" w:eastAsia="zh-CN"/>
              </w:rPr>
              <w:t>中国境内</w:t>
            </w:r>
            <w:r>
              <w:rPr>
                <w:rFonts w:hint="eastAsia" w:ascii="仿宋" w:hAnsi="仿宋" w:eastAsia="仿宋" w:cs="仿宋"/>
                <w:b w:val="0"/>
                <w:bCs/>
                <w:color w:val="auto"/>
                <w:kern w:val="0"/>
                <w:sz w:val="24"/>
                <w:szCs w:val="24"/>
              </w:rPr>
              <w:t>电动汽车充电桩设备市场</w:t>
            </w:r>
            <w:r>
              <w:rPr>
                <w:rFonts w:hint="eastAsia" w:ascii="仿宋" w:hAnsi="仿宋" w:eastAsia="仿宋" w:cs="仿宋"/>
                <w:b w:val="0"/>
                <w:bCs/>
                <w:color w:val="auto"/>
                <w:kern w:val="0"/>
                <w:sz w:val="24"/>
                <w:szCs w:val="24"/>
                <w:lang w:eastAsia="zh-CN"/>
              </w:rPr>
              <w:t>：</w:t>
            </w:r>
          </w:p>
          <w:p>
            <w:pPr>
              <w:numPr>
                <w:ilvl w:val="0"/>
                <w:numId w:val="1"/>
              </w:numPr>
              <w:spacing w:line="500" w:lineRule="exact"/>
              <w:ind w:left="420" w:leftChars="0" w:hanging="420" w:firstLineChars="0"/>
              <w:rPr>
                <w:rFonts w:hint="default" w:eastAsia="楷体_GB2312"/>
                <w:b/>
                <w:color w:val="0000FF"/>
                <w:kern w:val="0"/>
                <w:sz w:val="20"/>
                <w:szCs w:val="20"/>
                <w:lang w:val="en-US" w:eastAsia="zh-CN"/>
              </w:rPr>
            </w:pPr>
            <w:r>
              <w:rPr>
                <w:rFonts w:hint="eastAsia" w:ascii="仿宋" w:hAnsi="仿宋" w:eastAsia="仿宋" w:cs="仿宋"/>
                <w:b w:val="0"/>
                <w:bCs/>
                <w:color w:val="auto"/>
                <w:kern w:val="0"/>
                <w:sz w:val="24"/>
                <w:szCs w:val="24"/>
                <w:lang w:val="en-US" w:eastAsia="zh-CN"/>
              </w:rPr>
              <w:t>特来电公司：【5-10%】</w:t>
            </w:r>
          </w:p>
          <w:p>
            <w:pPr>
              <w:numPr>
                <w:ilvl w:val="0"/>
                <w:numId w:val="2"/>
              </w:numPr>
              <w:spacing w:line="500" w:lineRule="exact"/>
              <w:ind w:left="425" w:leftChars="0" w:hanging="425" w:firstLineChars="0"/>
              <w:rPr>
                <w:rFonts w:hint="default" w:eastAsia="楷体_GB2312"/>
                <w:b/>
                <w:color w:val="0000FF"/>
                <w:kern w:val="0"/>
                <w:sz w:val="20"/>
                <w:szCs w:val="20"/>
                <w:lang w:val="en-US" w:eastAsia="zh-CN"/>
              </w:rPr>
            </w:pPr>
            <w:r>
              <w:rPr>
                <w:rFonts w:hint="eastAsia" w:ascii="仿宋" w:hAnsi="仿宋" w:eastAsia="仿宋" w:cs="仿宋"/>
                <w:b w:val="0"/>
                <w:bCs/>
                <w:color w:val="auto"/>
                <w:kern w:val="0"/>
                <w:sz w:val="24"/>
                <w:szCs w:val="24"/>
                <w:lang w:val="en-US" w:eastAsia="zh-CN"/>
              </w:rPr>
              <w:t>广旅公司：【0】</w:t>
            </w:r>
            <w:bookmarkStart w:id="0" w:name="_GoBack"/>
            <w:bookmarkEnd w:id="0"/>
          </w:p>
        </w:tc>
      </w:tr>
    </w:tbl>
    <w:p>
      <w:pPr>
        <w:snapToGrid w:val="0"/>
        <w:spacing w:line="240" w:lineRule="exact"/>
        <w:jc w:val="left"/>
        <w:rPr>
          <w:rFonts w:hint="eastAsia" w:ascii="楷体_GB2312" w:hAnsi="宋体" w:eastAsia="楷体_GB2312"/>
          <w:sz w:val="24"/>
          <w:szCs w:val="24"/>
        </w:rPr>
      </w:pPr>
    </w:p>
    <w:p>
      <w:pPr>
        <w:snapToGrid w:val="0"/>
        <w:spacing w:line="240" w:lineRule="exact"/>
        <w:jc w:val="left"/>
        <w:rPr>
          <w:rFonts w:hint="eastAsia" w:ascii="方正仿宋_GBK" w:hAnsi="宋体" w:eastAsia="方正仿宋_GBK"/>
          <w:sz w:val="24"/>
          <w:szCs w:val="24"/>
        </w:rPr>
      </w:pPr>
      <w:r>
        <w:rPr>
          <w:rFonts w:hint="eastAsia" w:ascii="方正仿宋_GBK" w:hAnsi="宋体" w:eastAsia="方正仿宋_GBK"/>
          <w:sz w:val="24"/>
          <w:szCs w:val="24"/>
        </w:rPr>
        <w:t>注解：</w:t>
      </w:r>
    </w:p>
    <w:p>
      <w:pPr>
        <w:snapToGrid w:val="0"/>
        <w:spacing w:line="360" w:lineRule="auto"/>
        <w:ind w:firstLine="480" w:firstLineChars="200"/>
        <w:jc w:val="left"/>
        <w:rPr>
          <w:rFonts w:hint="eastAsia" w:ascii="方正仿宋_GBK" w:hAnsi="宋体" w:eastAsia="方正仿宋_GBK"/>
          <w:sz w:val="24"/>
          <w:szCs w:val="24"/>
        </w:rPr>
      </w:pPr>
      <w:r>
        <w:rPr>
          <w:rFonts w:hint="eastAsia" w:ascii="方正仿宋_GBK" w:hAnsi="宋体" w:eastAsia="方正仿宋_GBK"/>
          <w:sz w:val="24"/>
          <w:szCs w:val="24"/>
        </w:rPr>
        <w:t>1.申报方申请简易案件的理由是基于1-3项时，须在备注中说明界定的相关商品市场和相关地域市场（无须阐述界定理由），以及相关市场份额；市场份额可以区间形式提供，区间幅度不应超过5%。1-3项可以多选，也可单选；没有勾选的，视为本集中不涉及该类型交易。</w:t>
      </w:r>
    </w:p>
    <w:p>
      <w:pPr>
        <w:spacing w:line="360" w:lineRule="auto"/>
        <w:ind w:firstLine="480" w:firstLineChars="200"/>
        <w:rPr>
          <w:rFonts w:hint="eastAsia" w:ascii="方正仿宋_GBK" w:hAnsi="Times New Roman" w:eastAsia="方正仿宋_GBK"/>
          <w:sz w:val="28"/>
          <w:szCs w:val="28"/>
        </w:rPr>
      </w:pPr>
      <w:r>
        <w:rPr>
          <w:rFonts w:hint="eastAsia" w:ascii="方正仿宋_GBK" w:hAnsi="宋体" w:eastAsia="方正仿宋_GBK"/>
          <w:sz w:val="24"/>
          <w:szCs w:val="24"/>
        </w:rPr>
        <w:t>2.申报方申请简易案件的理由是基于第4项、第5项时，无须在备注中说明相关市场和市场份额。</w:t>
      </w:r>
      <w:r>
        <w:rPr>
          <w:rFonts w:hint="eastAsia" w:ascii="方正仿宋_GBK" w:hAnsi="宋体" w:eastAsia="方正仿宋_GBK"/>
          <w:sz w:val="24"/>
          <w:szCs w:val="24"/>
        </w:rPr>
        <w:br w:type="textWrapping"/>
      </w:r>
      <w:r>
        <w:rPr>
          <w:rFonts w:hint="eastAsia" w:ascii="方正仿宋_GBK" w:hAnsi="宋体" w:eastAsia="方正仿宋_GBK"/>
          <w:sz w:val="24"/>
          <w:szCs w:val="24"/>
        </w:rPr>
        <w:t xml:space="preserve">    3.由两个或两个以上经营者共同控制的合营企业，通过集中被其中的一个经营者控制，如果该经营者与合营企业属于同一相关市场的竞争者，则申报方在申请简易案件时，须同时勾选第1项和第6项理由，并在备注中说明界定的相关商品市场和相关地域市场（无须阐述界定理由），以及相关市场份额。市场份额可以区间形式提供，区间幅度不应超过5%。</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Wingdings 2">
    <w:panose1 w:val="05020102010507070707"/>
    <w:charset w:val="00"/>
    <w:family w:val="auto"/>
    <w:pitch w:val="default"/>
    <w:sig w:usb0="00000000" w:usb1="00000000" w:usb2="00000000" w:usb3="00000000" w:csb0="80000000"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方正仿宋_GBK">
    <w:altName w:val="微软雅黑"/>
    <w:panose1 w:val="03000509000000000000"/>
    <w:charset w:val="86"/>
    <w:family w:val="script"/>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CFF099F"/>
    <w:multiLevelType w:val="singleLevel"/>
    <w:tmpl w:val="FCFF099F"/>
    <w:lvl w:ilvl="0" w:tentative="0">
      <w:start w:val="1"/>
      <w:numFmt w:val="bullet"/>
      <w:lvlText w:val=""/>
      <w:lvlJc w:val="left"/>
      <w:pPr>
        <w:ind w:left="420" w:hanging="420"/>
      </w:pPr>
      <w:rPr>
        <w:rFonts w:hint="default" w:ascii="Wingdings" w:hAnsi="Wingdings"/>
        <w:color w:val="auto"/>
      </w:rPr>
    </w:lvl>
  </w:abstractNum>
  <w:abstractNum w:abstractNumId="1">
    <w:nsid w:val="564FEB97"/>
    <w:multiLevelType w:val="singleLevel"/>
    <w:tmpl w:val="564FEB97"/>
    <w:lvl w:ilvl="0" w:tentative="0">
      <w:start w:val="1"/>
      <w:numFmt w:val="bullet"/>
      <w:lvlText w:val=""/>
      <w:lvlJc w:val="left"/>
      <w:pPr>
        <w:ind w:left="420" w:hanging="420"/>
      </w:pPr>
      <w:rPr>
        <w:rFonts w:hint="default" w:ascii="Wingdings" w:hAnsi="Wingdings"/>
        <w:color w:val="auto"/>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2"/>
  </w:compat>
  <w:docVars>
    <w:docVar w:name="commondata" w:val="eyJoZGlkIjoiMDMzNWFmNzMwNzg3Njk3ODFjOGQ3MDE5MDFkOGY3ODAifQ=="/>
  </w:docVars>
  <w:rsids>
    <w:rsidRoot w:val="00CB00DF"/>
    <w:rsid w:val="00037065"/>
    <w:rsid w:val="000D7EBA"/>
    <w:rsid w:val="001164CD"/>
    <w:rsid w:val="00155717"/>
    <w:rsid w:val="001837A3"/>
    <w:rsid w:val="003C0AEB"/>
    <w:rsid w:val="004F7688"/>
    <w:rsid w:val="006467D8"/>
    <w:rsid w:val="006A531B"/>
    <w:rsid w:val="006F7693"/>
    <w:rsid w:val="00710140"/>
    <w:rsid w:val="007F2275"/>
    <w:rsid w:val="00915F0F"/>
    <w:rsid w:val="009532DF"/>
    <w:rsid w:val="00997019"/>
    <w:rsid w:val="009A5029"/>
    <w:rsid w:val="009D38D5"/>
    <w:rsid w:val="00A53F26"/>
    <w:rsid w:val="00AA0CC5"/>
    <w:rsid w:val="00B16AFE"/>
    <w:rsid w:val="00B65DD5"/>
    <w:rsid w:val="00BD10B6"/>
    <w:rsid w:val="00C07076"/>
    <w:rsid w:val="00CB00DF"/>
    <w:rsid w:val="00D73C72"/>
    <w:rsid w:val="00E0592B"/>
    <w:rsid w:val="00E31738"/>
    <w:rsid w:val="00E86786"/>
    <w:rsid w:val="00ED2F80"/>
    <w:rsid w:val="00F1624E"/>
    <w:rsid w:val="00F32F8A"/>
    <w:rsid w:val="00F810AA"/>
    <w:rsid w:val="00FB43EC"/>
    <w:rsid w:val="00FB6B40"/>
    <w:rsid w:val="041E04D2"/>
    <w:rsid w:val="08732C15"/>
    <w:rsid w:val="0AF12517"/>
    <w:rsid w:val="155B757F"/>
    <w:rsid w:val="204F58BE"/>
    <w:rsid w:val="21224D81"/>
    <w:rsid w:val="2946295A"/>
    <w:rsid w:val="32BB6DE3"/>
    <w:rsid w:val="3F402B4A"/>
    <w:rsid w:val="42734FE4"/>
    <w:rsid w:val="4607616F"/>
    <w:rsid w:val="4A121587"/>
    <w:rsid w:val="52410C5B"/>
    <w:rsid w:val="6C0F0DFC"/>
    <w:rsid w:val="75E35A02"/>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3">
    <w:name w:val="Default Paragraph Font"/>
    <w:semiHidden/>
    <w:unhideWhenUsed/>
    <w:qFormat/>
    <w:uiPriority w:val="1"/>
  </w:style>
  <w:style w:type="table" w:default="1" w:styleId="2">
    <w:name w:val="Normal Table"/>
    <w:semiHidden/>
    <w:unhideWhenUsed/>
    <w:qFormat/>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1066</Words>
  <Characters>1106</Characters>
  <Lines>5</Lines>
  <Paragraphs>1</Paragraphs>
  <TotalTime>7</TotalTime>
  <ScaleCrop>false</ScaleCrop>
  <LinksUpToDate>false</LinksUpToDate>
  <CharactersWithSpaces>1110</CharactersWithSpaces>
  <Application>WPS Office_11.1.0.12598_F1E327BC-269C-435d-A152-05C5408002CA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2018-09-29T02:33:00Z</dcterms:created>
  <dc:creator>陈媚</dc:creator>
  <cp:lastModifiedBy>黄敏</cp:lastModifiedBy>
  <dcterms:modified xsi:type="dcterms:W3CDTF">2022-10-31T12:52:11Z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2052-11.1.0.12598</vt:lpwstr>
  </property>
  <property fmtid="{D5CDD505-2E9C-101B-9397-08002B2CF9AE}" pid="3" name="ICV">
    <vt:lpwstr>5740D981C06140F280EB896524B43807</vt:lpwstr>
  </property>
</Properties>
</file>