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spacing w:after="240" w:line="240" w:lineRule="auto"/>
        <w:jc w:val="center"/>
        <w:rPr>
          <w:rFonts w:hint="eastAsia" w:ascii="黑体" w:hAnsi="黑体" w:eastAsia="黑体" w:cs="黑体"/>
          <w:b w:val="0"/>
          <w:bCs/>
          <w:kern w:val="0"/>
          <w:sz w:val="36"/>
          <w:szCs w:val="36"/>
          <w:lang w:val="en-GB" w:eastAsia="zh-CN" w:bidi="ar-AE"/>
        </w:rPr>
      </w:pPr>
      <w:r>
        <w:rPr>
          <w:rFonts w:hint="eastAsia" w:ascii="黑体" w:hAnsi="黑体" w:eastAsia="黑体" w:cs="黑体"/>
          <w:b w:val="0"/>
          <w:bCs/>
          <w:kern w:val="0"/>
          <w:sz w:val="36"/>
          <w:szCs w:val="36"/>
          <w:lang w:val="en-GB" w:bidi="ar-AE"/>
        </w:rPr>
        <w:t>经营者集中简易案件公示表</w:t>
      </w:r>
    </w:p>
    <w:tbl>
      <w:tblPr>
        <w:tblStyle w:val="7"/>
        <w:tblW w:w="9640" w:type="dxa"/>
        <w:tblInd w:w="-17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0"/>
        <w:gridCol w:w="1607"/>
        <w:gridCol w:w="609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6" w:hRule="atLeast"/>
        </w:trPr>
        <w:tc>
          <w:tcPr>
            <w:tcW w:w="1940" w:type="dxa"/>
            <w:shd w:val="clear" w:color="auto" w:fill="D9D9D9"/>
            <w:noWrap w:val="0"/>
            <w:vAlign w:val="center"/>
          </w:tcPr>
          <w:p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both"/>
              <w:textAlignment w:val="auto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GB"/>
              </w:rPr>
              <w:t>案件名称</w:t>
            </w:r>
          </w:p>
        </w:tc>
        <w:tc>
          <w:tcPr>
            <w:tcW w:w="7700" w:type="dxa"/>
            <w:gridSpan w:val="2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both"/>
              <w:textAlignment w:val="auto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-AE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-AE"/>
              </w:rPr>
              <w:t>浙江浙能燃气股份有限公司与仙鹤股份有限公司新设合营企业案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1" w:hRule="atLeast"/>
        </w:trPr>
        <w:tc>
          <w:tcPr>
            <w:tcW w:w="1940" w:type="dxa"/>
            <w:shd w:val="clear" w:color="auto" w:fill="D9D9D9"/>
            <w:noWrap w:val="0"/>
            <w:vAlign w:val="center"/>
          </w:tcPr>
          <w:p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both"/>
              <w:textAlignment w:val="auto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GB" w:eastAsia="zh-CN"/>
              </w:rPr>
              <w:t>交易概况（限200字内）</w:t>
            </w:r>
          </w:p>
        </w:tc>
        <w:tc>
          <w:tcPr>
            <w:tcW w:w="7700" w:type="dxa"/>
            <w:gridSpan w:val="2"/>
            <w:noWrap w:val="0"/>
            <w:vAlign w:val="center"/>
          </w:tcPr>
          <w:p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both"/>
              <w:textAlignment w:val="auto"/>
              <w:rPr>
                <w:rFonts w:hint="eastAsia" w:ascii="宋体" w:hAnsi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  <w:lang w:val="en-US" w:eastAsia="zh-CN"/>
              </w:rPr>
              <w:t>浙江浙能燃气股份有限公司（“浙能燃气”）与仙鹤股份有限公司（“仙鹤股份”）签署协议，共同出资设立合营企业，从事沼气提纯天然气的生产与供应业务。</w:t>
            </w:r>
          </w:p>
          <w:p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both"/>
              <w:textAlignment w:val="auto"/>
              <w:rPr>
                <w:rFonts w:hint="eastAsia" w:ascii="宋体" w:hAnsi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  <w:lang w:val="en-US" w:eastAsia="zh-CN"/>
              </w:rPr>
              <w:t>合资公司成立后，浙能燃气和仙鹤股份将分别持有合营企业51%和49%的股权，共同控制合营企业。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2" w:hRule="atLeast"/>
        </w:trPr>
        <w:tc>
          <w:tcPr>
            <w:tcW w:w="1940" w:type="dxa"/>
            <w:vMerge w:val="restart"/>
            <w:shd w:val="clear" w:color="auto" w:fill="D9D9D9"/>
            <w:noWrap w:val="0"/>
            <w:vAlign w:val="center"/>
          </w:tcPr>
          <w:p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both"/>
              <w:textAlignment w:val="auto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GB" w:eastAsia="zh-CN"/>
              </w:rPr>
              <w:t>参与集中的经营者简介（每个限</w:t>
            </w: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/>
              </w:rPr>
              <w:t>100字以内</w:t>
            </w: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GB" w:eastAsia="zh-CN"/>
              </w:rPr>
              <w:t>）</w:t>
            </w:r>
          </w:p>
        </w:tc>
        <w:tc>
          <w:tcPr>
            <w:tcW w:w="1607" w:type="dxa"/>
            <w:noWrap w:val="0"/>
            <w:vAlign w:val="center"/>
          </w:tcPr>
          <w:p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both"/>
              <w:textAlignment w:val="auto"/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  <w:lang w:val="en-US" w:eastAsia="zh-CN"/>
              </w:rPr>
              <w:t>1.浙能燃气</w:t>
            </w:r>
          </w:p>
        </w:tc>
        <w:tc>
          <w:tcPr>
            <w:tcW w:w="6093" w:type="dxa"/>
            <w:noWrap w:val="0"/>
            <w:vAlign w:val="center"/>
          </w:tcPr>
          <w:p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both"/>
              <w:textAlignment w:val="auto"/>
              <w:rPr>
                <w:rFonts w:hint="eastAsia" w:ascii="宋体" w:hAnsi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  <w:lang w:val="en-US" w:eastAsia="zh-CN"/>
              </w:rPr>
              <w:t>浙能燃气于2010年11月8日成立于中国浙江省，主要业务为城镇燃气输配、销售等。</w:t>
            </w:r>
          </w:p>
          <w:p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both"/>
              <w:textAlignment w:val="auto"/>
              <w:rPr>
                <w:rFonts w:hint="eastAsia" w:ascii="宋体" w:hAnsi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  <w:lang w:val="en-US" w:eastAsia="zh-CN"/>
              </w:rPr>
              <w:t>浙能燃气最终控制人为浙江省能源集团有限公司，主要业务为电源建设、电力热力生产、煤矿投资开发、煤炭流通经营等。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4" w:hRule="atLeast"/>
        </w:trPr>
        <w:tc>
          <w:tcPr>
            <w:tcW w:w="1940" w:type="dxa"/>
            <w:vMerge w:val="continue"/>
            <w:shd w:val="clear" w:color="auto" w:fill="D9D9D9"/>
            <w:noWrap w:val="0"/>
            <w:vAlign w:val="center"/>
          </w:tcPr>
          <w:p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both"/>
              <w:textAlignment w:val="auto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/>
              </w:rPr>
            </w:pPr>
          </w:p>
        </w:tc>
        <w:tc>
          <w:tcPr>
            <w:tcW w:w="1607" w:type="dxa"/>
            <w:noWrap w:val="0"/>
            <w:vAlign w:val="center"/>
          </w:tcPr>
          <w:p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both"/>
              <w:textAlignment w:val="auto"/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  <w:lang w:val="en-US" w:eastAsia="zh-CN"/>
              </w:rPr>
              <w:t>2.仙鹤股份</w:t>
            </w:r>
          </w:p>
        </w:tc>
        <w:tc>
          <w:tcPr>
            <w:tcW w:w="6093" w:type="dxa"/>
            <w:noWrap w:val="0"/>
            <w:vAlign w:val="center"/>
          </w:tcPr>
          <w:p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both"/>
              <w:textAlignment w:val="auto"/>
              <w:rPr>
                <w:rFonts w:hint="eastAsia" w:ascii="宋体" w:hAnsi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  <w:lang w:val="en-US" w:eastAsia="zh-CN"/>
              </w:rPr>
              <w:t>仙鹤股份于2001年12月19日成立于中国浙江省，于2018年4月20日在上海证券交易所上市（股票代码：603733），主要业务为特种纸的研发、生产和销售。</w:t>
            </w:r>
          </w:p>
          <w:p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both"/>
              <w:textAlignment w:val="auto"/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  <w:lang w:val="en-US" w:eastAsia="zh-CN"/>
              </w:rPr>
              <w:t>仙鹤股份最终控制人为自然人，主要业务为特种纸的研发、生产和销售等。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1940" w:type="dxa"/>
            <w:vMerge w:val="restart"/>
            <w:shd w:val="clear" w:color="auto" w:fill="D9D9D9"/>
            <w:noWrap w:val="0"/>
            <w:vAlign w:val="center"/>
          </w:tcPr>
          <w:p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both"/>
              <w:textAlignment w:val="auto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GB" w:eastAsia="zh-CN"/>
              </w:rPr>
              <w:t>简易案件理由（可以单选，也可以多选）</w:t>
            </w:r>
          </w:p>
        </w:tc>
        <w:tc>
          <w:tcPr>
            <w:tcW w:w="7700" w:type="dxa"/>
            <w:gridSpan w:val="2"/>
            <w:noWrap w:val="0"/>
            <w:vAlign w:val="center"/>
          </w:tcPr>
          <w:p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both"/>
              <w:textAlignment w:val="auto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GB" w:eastAsia="zh-CN"/>
              </w:rPr>
              <w:sym w:font="Wingdings" w:char="00A8"/>
            </w: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GB" w:eastAsia="zh-CN"/>
              </w:rPr>
              <w:t xml:space="preserve"> 1、在同一相关市场，所有参与集中的经营者所占市场份额之和小于</w:t>
            </w: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eastAsia="zh-CN"/>
              </w:rPr>
              <w:t>15%</w:t>
            </w: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GB" w:eastAsia="zh-CN"/>
              </w:rPr>
              <w:t>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940" w:type="dxa"/>
            <w:vMerge w:val="continue"/>
            <w:shd w:val="clear" w:color="auto" w:fill="D9D9D9"/>
            <w:noWrap w:val="0"/>
            <w:vAlign w:val="center"/>
          </w:tcPr>
          <w:p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both"/>
              <w:textAlignment w:val="auto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/>
              </w:rPr>
            </w:pPr>
          </w:p>
        </w:tc>
        <w:tc>
          <w:tcPr>
            <w:tcW w:w="7700" w:type="dxa"/>
            <w:gridSpan w:val="2"/>
            <w:noWrap w:val="0"/>
            <w:vAlign w:val="center"/>
          </w:tcPr>
          <w:p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both"/>
              <w:textAlignment w:val="auto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GB" w:eastAsia="zh-CN"/>
              </w:rPr>
              <w:sym w:font="Wingdings" w:char="00FE"/>
            </w: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GB" w:eastAsia="zh-CN"/>
              </w:rPr>
              <w:t xml:space="preserve"> 2、存在上下游关系的参与集中的经营者，在上下游市场所占的市场份额均小于</w:t>
            </w: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eastAsia="zh-CN"/>
              </w:rPr>
              <w:t>25%</w:t>
            </w: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GB" w:eastAsia="zh-CN"/>
              </w:rPr>
              <w:t>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940" w:type="dxa"/>
            <w:vMerge w:val="continue"/>
            <w:shd w:val="clear" w:color="auto" w:fill="D9D9D9"/>
            <w:noWrap w:val="0"/>
            <w:vAlign w:val="center"/>
          </w:tcPr>
          <w:p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both"/>
              <w:textAlignment w:val="auto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/>
              </w:rPr>
            </w:pPr>
          </w:p>
        </w:tc>
        <w:tc>
          <w:tcPr>
            <w:tcW w:w="7700" w:type="dxa"/>
            <w:gridSpan w:val="2"/>
            <w:noWrap w:val="0"/>
            <w:vAlign w:val="center"/>
          </w:tcPr>
          <w:p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both"/>
              <w:textAlignment w:val="auto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GB" w:eastAsia="zh-CN"/>
              </w:rPr>
              <w:sym w:font="Wingdings" w:char="00A8"/>
            </w: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GB" w:eastAsia="zh-CN"/>
              </w:rPr>
              <w:t xml:space="preserve">  3、不在同一相关市场、也不存在上下游关系的参与集中的经营者，在与交易有关的每个市场所占的份额均小于25%。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" w:hRule="atLeast"/>
        </w:trPr>
        <w:tc>
          <w:tcPr>
            <w:tcW w:w="1940" w:type="dxa"/>
            <w:vMerge w:val="continue"/>
            <w:shd w:val="clear" w:color="auto" w:fill="D9D9D9"/>
            <w:noWrap w:val="0"/>
            <w:vAlign w:val="center"/>
          </w:tcPr>
          <w:p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both"/>
              <w:textAlignment w:val="auto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/>
              </w:rPr>
            </w:pPr>
          </w:p>
        </w:tc>
        <w:tc>
          <w:tcPr>
            <w:tcW w:w="7700" w:type="dxa"/>
            <w:gridSpan w:val="2"/>
            <w:noWrap w:val="0"/>
            <w:vAlign w:val="center"/>
          </w:tcPr>
          <w:p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both"/>
              <w:textAlignment w:val="auto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GB" w:eastAsia="zh-CN"/>
              </w:rPr>
              <w:sym w:font="Wingdings" w:char="00A8"/>
            </w: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GB" w:eastAsia="zh-CN"/>
              </w:rPr>
              <w:t xml:space="preserve"> 4、参与集中的经营者在中国境外设立合营企业，合营企业不在中国境内从事经济活动。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1940" w:type="dxa"/>
            <w:vMerge w:val="continue"/>
            <w:shd w:val="clear" w:color="auto" w:fill="D9D9D9"/>
            <w:noWrap w:val="0"/>
            <w:vAlign w:val="center"/>
          </w:tcPr>
          <w:p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both"/>
              <w:textAlignment w:val="auto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/>
              </w:rPr>
            </w:pPr>
          </w:p>
        </w:tc>
        <w:tc>
          <w:tcPr>
            <w:tcW w:w="7700" w:type="dxa"/>
            <w:gridSpan w:val="2"/>
            <w:noWrap w:val="0"/>
            <w:vAlign w:val="center"/>
          </w:tcPr>
          <w:p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both"/>
              <w:textAlignment w:val="auto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GB" w:eastAsia="zh-CN"/>
              </w:rPr>
              <w:sym w:font="Wingdings" w:char="00A8"/>
            </w: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GB" w:eastAsia="zh-CN"/>
              </w:rPr>
              <w:t xml:space="preserve"> 5、参与集中的经营者收购境外企业股权或资产的，该境外企业不在中国境内从事经济活动。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940" w:type="dxa"/>
            <w:vMerge w:val="continue"/>
            <w:shd w:val="clear" w:color="auto" w:fill="D9D9D9"/>
            <w:noWrap w:val="0"/>
            <w:vAlign w:val="center"/>
          </w:tcPr>
          <w:p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both"/>
              <w:textAlignment w:val="auto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/>
              </w:rPr>
            </w:pPr>
          </w:p>
        </w:tc>
        <w:tc>
          <w:tcPr>
            <w:tcW w:w="7700" w:type="dxa"/>
            <w:gridSpan w:val="2"/>
            <w:noWrap w:val="0"/>
            <w:vAlign w:val="center"/>
          </w:tcPr>
          <w:p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both"/>
              <w:textAlignment w:val="auto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GB" w:eastAsia="zh-CN"/>
              </w:rPr>
              <w:sym w:font="Wingdings" w:char="00A8"/>
            </w: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GB" w:eastAsia="zh-CN"/>
              </w:rPr>
              <w:t xml:space="preserve"> 6、由两个以上的经营者共同控制的合营企业，通过集中被其中一个或一个以上经营者控制。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87" w:hRule="atLeast"/>
        </w:trPr>
        <w:tc>
          <w:tcPr>
            <w:tcW w:w="1940" w:type="dxa"/>
            <w:shd w:val="clear" w:color="auto" w:fill="D9D9D9"/>
            <w:noWrap w:val="0"/>
            <w:vAlign w:val="center"/>
          </w:tcPr>
          <w:p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both"/>
              <w:textAlignment w:val="auto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/>
              </w:rPr>
              <w:t>备注</w:t>
            </w:r>
          </w:p>
        </w:tc>
        <w:tc>
          <w:tcPr>
            <w:tcW w:w="7700" w:type="dxa"/>
            <w:gridSpan w:val="2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/>
                <w:lang w:val="en-US"/>
              </w:rPr>
            </w:pPr>
            <w:r>
              <w:rPr>
                <w:rFonts w:hint="eastAsia"/>
                <w:lang w:val="en-US" w:eastAsia="zh-CN"/>
              </w:rPr>
              <w:t>纵向关联：</w:t>
            </w:r>
          </w:p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上游：2021年中国境内天然气批发供应市场</w:t>
            </w:r>
          </w:p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-合资公司（预估）：【0-5】%</w:t>
            </w:r>
          </w:p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下游：2021年中国境内天然气分销市场</w:t>
            </w:r>
          </w:p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-浙能燃气：【0-5】%</w:t>
            </w:r>
          </w:p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lang w:val="en-US" w:eastAsia="zh-CN"/>
              </w:rPr>
            </w:pPr>
            <w:bookmarkStart w:id="0" w:name="_GoBack"/>
            <w:bookmarkEnd w:id="0"/>
          </w:p>
        </w:tc>
      </w:tr>
    </w:tbl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Simplified Arabic">
    <w:altName w:val="Times New Roman"/>
    <w:panose1 w:val="02020603050405020304"/>
    <w:charset w:val="00"/>
    <w:family w:val="roman"/>
    <w:pitch w:val="default"/>
    <w:sig w:usb0="00000000" w:usb1="00000000" w:usb2="00000000" w:usb3="00000000" w:csb0="00000041" w:csb1="2008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normal"/>
  <w:zoom w:percent="9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ZjNTZmODJhMGYyMDJiZjMzMWZmNmRjYmI0ZjdhYzQifQ=="/>
  </w:docVars>
  <w:rsids>
    <w:rsidRoot w:val="1FD75275"/>
    <w:rsid w:val="008B3723"/>
    <w:rsid w:val="05580A1B"/>
    <w:rsid w:val="05990646"/>
    <w:rsid w:val="05AF1F2A"/>
    <w:rsid w:val="0776438B"/>
    <w:rsid w:val="078B32B5"/>
    <w:rsid w:val="07B91B80"/>
    <w:rsid w:val="081F6853"/>
    <w:rsid w:val="09C61911"/>
    <w:rsid w:val="0C4E6B1B"/>
    <w:rsid w:val="115C4801"/>
    <w:rsid w:val="161D5075"/>
    <w:rsid w:val="16FE2B5D"/>
    <w:rsid w:val="182D5B67"/>
    <w:rsid w:val="19616677"/>
    <w:rsid w:val="19640DEF"/>
    <w:rsid w:val="1B0823C3"/>
    <w:rsid w:val="1B1645F2"/>
    <w:rsid w:val="1C896F14"/>
    <w:rsid w:val="1DD14524"/>
    <w:rsid w:val="1DE14A05"/>
    <w:rsid w:val="1E6E161E"/>
    <w:rsid w:val="1FD75275"/>
    <w:rsid w:val="224E1DDD"/>
    <w:rsid w:val="268A5B9B"/>
    <w:rsid w:val="27403A41"/>
    <w:rsid w:val="28251527"/>
    <w:rsid w:val="285062D8"/>
    <w:rsid w:val="28F72695"/>
    <w:rsid w:val="2B825E52"/>
    <w:rsid w:val="2D2F7E06"/>
    <w:rsid w:val="2DA92B42"/>
    <w:rsid w:val="2DC8755C"/>
    <w:rsid w:val="312316C4"/>
    <w:rsid w:val="31413CD2"/>
    <w:rsid w:val="33FB1BAD"/>
    <w:rsid w:val="34A72734"/>
    <w:rsid w:val="3A027A99"/>
    <w:rsid w:val="3A5D1B18"/>
    <w:rsid w:val="3B423AD9"/>
    <w:rsid w:val="3CCC1DA4"/>
    <w:rsid w:val="3D9E3742"/>
    <w:rsid w:val="3E6658F6"/>
    <w:rsid w:val="427D496C"/>
    <w:rsid w:val="43DB38DD"/>
    <w:rsid w:val="47044096"/>
    <w:rsid w:val="472A7836"/>
    <w:rsid w:val="4750719D"/>
    <w:rsid w:val="4B712443"/>
    <w:rsid w:val="4CCB3C99"/>
    <w:rsid w:val="4ED87A02"/>
    <w:rsid w:val="4FF13F79"/>
    <w:rsid w:val="50F95AF5"/>
    <w:rsid w:val="561820D7"/>
    <w:rsid w:val="56724675"/>
    <w:rsid w:val="56F14FB0"/>
    <w:rsid w:val="577358DB"/>
    <w:rsid w:val="57A63636"/>
    <w:rsid w:val="57FC27A8"/>
    <w:rsid w:val="58FA4C6F"/>
    <w:rsid w:val="591A4B62"/>
    <w:rsid w:val="5D4E7B22"/>
    <w:rsid w:val="5F782045"/>
    <w:rsid w:val="651439C3"/>
    <w:rsid w:val="66164F1E"/>
    <w:rsid w:val="680C4C19"/>
    <w:rsid w:val="689E565C"/>
    <w:rsid w:val="68AA459B"/>
    <w:rsid w:val="68E95907"/>
    <w:rsid w:val="699C337B"/>
    <w:rsid w:val="69CB698F"/>
    <w:rsid w:val="69D9086B"/>
    <w:rsid w:val="69DF21DF"/>
    <w:rsid w:val="6E4E30F1"/>
    <w:rsid w:val="6E5A6159"/>
    <w:rsid w:val="6ECB45AD"/>
    <w:rsid w:val="6F2339A5"/>
    <w:rsid w:val="6F2428CA"/>
    <w:rsid w:val="6FC03871"/>
    <w:rsid w:val="72C53CF2"/>
    <w:rsid w:val="72D609C2"/>
    <w:rsid w:val="73D759E6"/>
    <w:rsid w:val="742D06AF"/>
    <w:rsid w:val="74F809A8"/>
    <w:rsid w:val="7541133F"/>
    <w:rsid w:val="76A84EC9"/>
    <w:rsid w:val="78BA4667"/>
    <w:rsid w:val="7BE834AF"/>
    <w:rsid w:val="7D1A0AA8"/>
    <w:rsid w:val="7D324183"/>
    <w:rsid w:val="7DBB576C"/>
    <w:rsid w:val="7F763A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spacing w:line="400" w:lineRule="exact"/>
      <w:jc w:val="both"/>
    </w:pPr>
    <w:rPr>
      <w:rFonts w:ascii="Times New Roman" w:hAnsi="Times New Roman" w:eastAsia="宋体" w:cstheme="minorBidi"/>
      <w:kern w:val="2"/>
      <w:sz w:val="24"/>
      <w:szCs w:val="24"/>
      <w:lang w:val="en-US" w:eastAsia="zh-CN" w:bidi="ar-SA"/>
    </w:rPr>
  </w:style>
  <w:style w:type="paragraph" w:styleId="3">
    <w:name w:val="heading 1"/>
    <w:basedOn w:val="1"/>
    <w:next w:val="1"/>
    <w:qFormat/>
    <w:uiPriority w:val="0"/>
    <w:pPr>
      <w:adjustRightInd w:val="0"/>
      <w:snapToGrid w:val="0"/>
      <w:spacing w:before="50" w:beforeLines="50" w:beforeAutospacing="0" w:after="50" w:afterLines="50" w:afterAutospacing="0"/>
      <w:jc w:val="left"/>
      <w:outlineLvl w:val="0"/>
    </w:pPr>
    <w:rPr>
      <w:rFonts w:hint="eastAsia" w:ascii="宋体" w:hAnsi="宋体" w:eastAsia="宋体" w:cs="宋体"/>
      <w:b/>
      <w:kern w:val="44"/>
      <w:sz w:val="36"/>
      <w:szCs w:val="48"/>
      <w:lang w:bidi="ar"/>
    </w:rPr>
  </w:style>
  <w:style w:type="paragraph" w:styleId="4">
    <w:name w:val="heading 2"/>
    <w:basedOn w:val="1"/>
    <w:next w:val="1"/>
    <w:semiHidden/>
    <w:unhideWhenUsed/>
    <w:qFormat/>
    <w:uiPriority w:val="0"/>
    <w:pPr>
      <w:snapToGrid w:val="0"/>
      <w:spacing w:line="440" w:lineRule="exact"/>
      <w:jc w:val="center"/>
      <w:outlineLvl w:val="1"/>
    </w:pPr>
    <w:rPr>
      <w:rFonts w:hint="eastAsia" w:ascii="Times New Roman" w:hAnsi="Times New Roman" w:eastAsia="黑体"/>
      <w:kern w:val="0"/>
      <w:sz w:val="28"/>
      <w:szCs w:val="28"/>
    </w:rPr>
  </w:style>
  <w:style w:type="paragraph" w:styleId="5">
    <w:name w:val="heading 3"/>
    <w:basedOn w:val="1"/>
    <w:next w:val="1"/>
    <w:semiHidden/>
    <w:unhideWhenUsed/>
    <w:qFormat/>
    <w:uiPriority w:val="0"/>
    <w:pPr>
      <w:keepNext/>
      <w:keepLines/>
      <w:spacing w:before="50" w:beforeLines="50" w:after="50" w:afterLines="50"/>
      <w:ind w:firstLine="883" w:firstLineChars="200"/>
      <w:jc w:val="left"/>
      <w:outlineLvl w:val="2"/>
    </w:pPr>
    <w:rPr>
      <w:rFonts w:ascii="Times New Roman" w:hAnsi="Times New Roman" w:eastAsia="黑体"/>
    </w:rPr>
  </w:style>
  <w:style w:type="character" w:default="1" w:styleId="9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pPr>
      <w:spacing w:after="240"/>
      <w:jc w:val="both"/>
    </w:pPr>
    <w:rPr>
      <w:rFonts w:ascii="Times New Roman" w:hAnsi="Times New Roman" w:eastAsia="宋体" w:cs="Simplified Arabic"/>
      <w:sz w:val="24"/>
      <w:szCs w:val="24"/>
      <w:lang w:val="en-GB" w:eastAsia="en-GB" w:bidi="ar-AE"/>
    </w:rPr>
  </w:style>
  <w:style w:type="paragraph" w:styleId="6">
    <w:name w:val="footnote text"/>
    <w:basedOn w:val="1"/>
    <w:qFormat/>
    <w:uiPriority w:val="0"/>
    <w:pPr>
      <w:snapToGrid w:val="0"/>
      <w:spacing w:line="2880" w:lineRule="auto"/>
      <w:ind w:left="0" w:firstLine="0" w:firstLineChars="0"/>
      <w:jc w:val="left"/>
    </w:pPr>
    <w:rPr>
      <w:rFonts w:ascii="Times New Roman" w:hAnsi="Times New Roman" w:eastAsia="宋体"/>
      <w:sz w:val="18"/>
    </w:rPr>
  </w:style>
  <w:style w:type="table" w:styleId="8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10">
    <w:name w:val="annotation reference"/>
    <w:basedOn w:val="9"/>
    <w:qFormat/>
    <w:uiPriority w:val="0"/>
    <w:rPr>
      <w:sz w:val="21"/>
    </w:rPr>
  </w:style>
  <w:style w:type="character" w:styleId="11">
    <w:name w:val="footnote reference"/>
    <w:basedOn w:val="10"/>
    <w:qFormat/>
    <w:uiPriority w:val="0"/>
    <w:rPr>
      <w:rFonts w:ascii="Times New Roman" w:hAnsi="Times New Roman" w:eastAsia="宋体"/>
      <w:sz w:val="22"/>
      <w:szCs w:val="22"/>
      <w:vertAlign w:val="superscript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710</Words>
  <Characters>753</Characters>
  <Lines>0</Lines>
  <Paragraphs>0</Paragraphs>
  <TotalTime>1</TotalTime>
  <ScaleCrop>false</ScaleCrop>
  <LinksUpToDate>false</LinksUpToDate>
  <CharactersWithSpaces>760</CharactersWithSpaces>
  <Application>WPS Office_11.1.0.12763_F1E327BC-269C-435d-A152-05C5408002CA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2022-10-14T10:37:00Z</dcterms:created>
  <dc:creator>包坤 Sunshine</dc:creator>
  <cp:lastModifiedBy>阳光所-严微</cp:lastModifiedBy>
  <dcterms:modified xsi:type="dcterms:W3CDTF">2022-12-12T03:18:22Z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4B9F3CF92F284B9F87E683758BE547FB</vt:lpwstr>
  </property>
</Properties>
</file>