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4D3DD4" w:rsidRDefault="00094095" w:rsidP="00094095">
      <w:pPr>
        <w:spacing w:line="440" w:lineRule="exact"/>
        <w:jc w:val="center"/>
        <w:rPr>
          <w:rFonts w:asciiTheme="minorEastAsia" w:eastAsiaTheme="minorEastAsia" w:hAnsiTheme="minorEastAsia"/>
          <w:sz w:val="28"/>
          <w:szCs w:val="28"/>
        </w:rPr>
      </w:pPr>
      <w:r w:rsidRPr="004D3DD4">
        <w:rPr>
          <w:rFonts w:asciiTheme="minorEastAsia" w:eastAsiaTheme="minorEastAsia" w:hAnsiTheme="minorEastAsia" w:hint="eastAsia"/>
          <w:sz w:val="28"/>
          <w:szCs w:val="28"/>
        </w:rPr>
        <w:t>经营者集中简易案件公示表</w:t>
      </w:r>
    </w:p>
    <w:p w:rsidR="00094095" w:rsidRPr="004D3DD4" w:rsidRDefault="00094095" w:rsidP="00094095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</w:p>
    <w:p w:rsidR="00094095" w:rsidRPr="004D3DD4" w:rsidRDefault="00094095" w:rsidP="00094095">
      <w:pPr>
        <w:spacing w:line="440" w:lineRule="exact"/>
        <w:ind w:firstLineChars="302" w:firstLine="846"/>
        <w:rPr>
          <w:rFonts w:asciiTheme="minorEastAsia" w:eastAsiaTheme="minorEastAsia" w:hAnsiTheme="minorEastAsia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4D3DD4" w:rsidTr="00123A9D">
        <w:tc>
          <w:tcPr>
            <w:tcW w:w="1809" w:type="dxa"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AA5B84" w:rsidRPr="004D3DD4" w:rsidRDefault="00942D7C" w:rsidP="007B1BD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贝恩资本投资者有限责任公司</w:t>
            </w:r>
            <w:r w:rsidR="00FE4A7C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（“</w:t>
            </w:r>
            <w:r w:rsidR="00FE4A7C" w:rsidRPr="004D3DD4">
              <w:rPr>
                <w:rFonts w:asciiTheme="minorEastAsia" w:eastAsiaTheme="minorEastAsia" w:hAnsiTheme="minorEastAsia" w:hint="eastAsia"/>
                <w:b/>
                <w:sz w:val="28"/>
                <w:szCs w:val="28"/>
              </w:rPr>
              <w:t>贝恩资本</w:t>
            </w:r>
            <w:r w:rsidR="00FE4A7C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”）</w:t>
            </w: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收购希悦尔公司</w:t>
            </w:r>
            <w:r w:rsidR="00FE4A7C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（“</w:t>
            </w:r>
            <w:r w:rsidR="00FE4A7C" w:rsidRPr="004D3DD4">
              <w:rPr>
                <w:rFonts w:asciiTheme="minorEastAsia" w:eastAsiaTheme="minorEastAsia" w:hAnsiTheme="minorEastAsia" w:hint="eastAsia"/>
                <w:b/>
                <w:sz w:val="28"/>
                <w:szCs w:val="28"/>
              </w:rPr>
              <w:t>希悦尔</w:t>
            </w:r>
            <w:r w:rsidR="00FE4A7C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”）</w:t>
            </w: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部分</w:t>
            </w:r>
            <w:proofErr w:type="gramStart"/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资产案</w:t>
            </w:r>
            <w:proofErr w:type="gramEnd"/>
            <w:r w:rsidR="007B1BD9" w:rsidRPr="004D3DD4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(</w:t>
            </w:r>
            <w:r w:rsidR="00AA5B84" w:rsidRPr="004D3DD4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“</w:t>
            </w:r>
            <w:r w:rsidR="00AA5B84" w:rsidRPr="004D3DD4">
              <w:rPr>
                <w:rFonts w:asciiTheme="minorEastAsia" w:eastAsiaTheme="minorEastAsia" w:hAnsiTheme="minorEastAsia" w:cs="宋体" w:hint="eastAsia"/>
                <w:b/>
                <w:sz w:val="28"/>
                <w:szCs w:val="28"/>
              </w:rPr>
              <w:t>本交易</w:t>
            </w:r>
            <w:r w:rsidR="00AA5B84" w:rsidRPr="004D3DD4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”）</w:t>
            </w:r>
          </w:p>
        </w:tc>
      </w:tr>
      <w:tr w:rsidR="00AA5B84" w:rsidRPr="004D3DD4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BA6B15" w:rsidRPr="004D3DD4" w:rsidRDefault="002A095D" w:rsidP="007876F1">
            <w:pPr>
              <w:spacing w:line="500" w:lineRule="exac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贝恩资本管理的基金将收购希悦</w:t>
            </w:r>
            <w:proofErr w:type="gramStart"/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尓</w:t>
            </w:r>
            <w:proofErr w:type="gramEnd"/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全资所有的泰华施</w:t>
            </w: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，包括</w:t>
            </w:r>
            <w:r w:rsidR="00FE4A7C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希悦尔</w:t>
            </w:r>
            <w:r w:rsidR="00BA6B15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的</w:t>
            </w:r>
            <w:r w:rsidR="00BA6B15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泰华施清洁养护部门,以及希悦</w:t>
            </w:r>
            <w:proofErr w:type="gramStart"/>
            <w:r w:rsidR="00BA6B15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尔食品</w:t>
            </w:r>
            <w:proofErr w:type="gramEnd"/>
            <w:r w:rsidR="00BA6B15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卫生部门的食品卫生和清洁业务</w:t>
            </w: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  <w:p w:rsidR="002A095D" w:rsidRPr="004D3DD4" w:rsidRDefault="002A095D" w:rsidP="00BA6B15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交易后，贝恩资本管理的基金将单独控制泰华施。</w:t>
            </w:r>
          </w:p>
        </w:tc>
      </w:tr>
      <w:tr w:rsidR="00AA5B84" w:rsidRPr="004D3DD4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AA5B84" w:rsidRPr="004D3DD4" w:rsidRDefault="00AA5B84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1、</w:t>
            </w:r>
            <w:r w:rsidR="007876F1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贝恩资本</w:t>
            </w:r>
          </w:p>
        </w:tc>
        <w:tc>
          <w:tcPr>
            <w:tcW w:w="5153" w:type="dxa"/>
          </w:tcPr>
          <w:p w:rsidR="00AA5B84" w:rsidRPr="004D3DD4" w:rsidRDefault="00783FE8" w:rsidP="00825368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783FE8">
              <w:rPr>
                <w:rFonts w:asciiTheme="minorEastAsia" w:eastAsiaTheme="minorEastAsia" w:hAnsiTheme="minorEastAsia" w:hint="eastAsia"/>
                <w:sz w:val="28"/>
                <w:szCs w:val="28"/>
              </w:rPr>
              <w:t>贝恩资本是一家私</w:t>
            </w:r>
            <w:proofErr w:type="gramStart"/>
            <w:r w:rsidRPr="00783FE8">
              <w:rPr>
                <w:rFonts w:asciiTheme="minorEastAsia" w:eastAsiaTheme="minorEastAsia" w:hAnsiTheme="minorEastAsia" w:hint="eastAsia"/>
                <w:sz w:val="28"/>
                <w:szCs w:val="28"/>
              </w:rPr>
              <w:t>募股权投资</w:t>
            </w:r>
            <w:proofErr w:type="gramEnd"/>
            <w:r w:rsidRPr="00783FE8">
              <w:rPr>
                <w:rFonts w:asciiTheme="minorEastAsia" w:eastAsiaTheme="minorEastAsia" w:hAnsiTheme="minorEastAsia" w:hint="eastAsia"/>
                <w:sz w:val="28"/>
                <w:szCs w:val="28"/>
              </w:rPr>
              <w:t>企业，通过其基金家族在全球范围内的诸多行业领域（包括信息技术、医疗保健、零售和消费品、金融和工业/制造业）开展投资业务。尽管并非所有的贝恩资本的投资组合公司都在中国运营，但贝恩资本在中国的业务与其全球业务范围一致。</w:t>
            </w:r>
          </w:p>
        </w:tc>
      </w:tr>
      <w:tr w:rsidR="00AA5B84" w:rsidRPr="004D3DD4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796" w:type="dxa"/>
          </w:tcPr>
          <w:p w:rsidR="00AA5B84" w:rsidRPr="004D3DD4" w:rsidRDefault="00AA5B84" w:rsidP="007876F1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2、</w:t>
            </w:r>
            <w:r w:rsidR="007876F1" w:rsidRPr="004D3DD4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泰华施</w:t>
            </w:r>
          </w:p>
        </w:tc>
        <w:tc>
          <w:tcPr>
            <w:tcW w:w="5153" w:type="dxa"/>
          </w:tcPr>
          <w:p w:rsidR="00AA5B84" w:rsidRPr="00126B86" w:rsidRDefault="00873883" w:rsidP="00126B86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泰华施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是希悦尔全资所有的业务</w:t>
            </w:r>
            <w:r w:rsidR="00126B86">
              <w:rPr>
                <w:rFonts w:asciiTheme="minorEastAsia" w:eastAsiaTheme="minorEastAsia" w:hAnsiTheme="minorEastAsia" w:hint="eastAsia"/>
                <w:sz w:val="28"/>
                <w:szCs w:val="28"/>
              </w:rPr>
              <w:t>，主要从事于</w:t>
            </w:r>
            <w:r w:rsidR="00126B86" w:rsidRPr="00126B86">
              <w:rPr>
                <w:rFonts w:asciiTheme="minorEastAsia" w:eastAsiaTheme="minorEastAsia" w:hAnsiTheme="minorEastAsia" w:hint="eastAsia"/>
                <w:sz w:val="28"/>
                <w:szCs w:val="28"/>
              </w:rPr>
              <w:t>提供清洁方案</w:t>
            </w:r>
            <w:r w:rsidR="00126B86" w:rsidRPr="00126B86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  <w:r w:rsidR="00126B86" w:rsidRPr="00126B86">
              <w:rPr>
                <w:rFonts w:asciiTheme="minorEastAsia" w:eastAsiaTheme="minorEastAsia" w:hAnsiTheme="minorEastAsia" w:hint="eastAsia"/>
                <w:sz w:val="28"/>
                <w:szCs w:val="28"/>
              </w:rPr>
              <w:t>泰华施在中国的业务同全球业务相似，具体而言包括：商用厨房清洁解决方案、地板保养和地毯保养机器及解决方案、个人护理产品、企业及商用洗衣房产品和解决方案、清洁工具和用具以及配套服务和咨询等。</w:t>
            </w:r>
          </w:p>
        </w:tc>
      </w:tr>
      <w:tr w:rsidR="00AA5B84" w:rsidRPr="004D3DD4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AA5B84" w:rsidRPr="004D3DD4" w:rsidRDefault="00AA5B84" w:rsidP="00BB2377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AA5B84" w:rsidRPr="004D3DD4" w:rsidRDefault="00316E5B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□</w:t>
            </w:r>
            <w:r w:rsidR="00AA5B84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A5B84" w:rsidRPr="004D3DD4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4D3DD4" w:rsidRDefault="00316E5B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□</w:t>
            </w:r>
            <w:r w:rsidR="00AA5B84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A5B84" w:rsidRPr="004D3DD4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4D3DD4" w:rsidRDefault="00316E5B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/>
                <w:sz w:val="28"/>
                <w:szCs w:val="28"/>
              </w:rPr>
              <w:sym w:font="Wingdings" w:char="F0FE"/>
            </w:r>
            <w:r w:rsidR="00AA5B84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3、不在同一相关市场、也不存在上下游关系的参与集</w:t>
            </w:r>
            <w:r w:rsidR="00AA5B84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lastRenderedPageBreak/>
              <w:t>中的经营者，在与交易有关的每个市场所占的份额均小于25%。</w:t>
            </w:r>
          </w:p>
        </w:tc>
      </w:tr>
      <w:tr w:rsidR="00AA5B84" w:rsidRPr="004D3DD4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AA5B84" w:rsidRPr="004D3DD4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AA5B84" w:rsidRPr="004D3DD4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AA5B84" w:rsidRPr="004D3DD4" w:rsidTr="002F2D60">
        <w:tc>
          <w:tcPr>
            <w:tcW w:w="1809" w:type="dxa"/>
            <w:shd w:val="clear" w:color="auto" w:fill="D9D9D9"/>
          </w:tcPr>
          <w:p w:rsidR="00AA5B84" w:rsidRPr="004D3DD4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3E5BE9" w:rsidRDefault="004C06C3" w:rsidP="002A2903">
            <w:pPr>
              <w:spacing w:line="500" w:lineRule="exac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贝恩资本和泰华施之间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在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机构用清洁卫生产品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和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工业用清洁卫生产品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市场不存在任何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横向重叠或纵向关系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  <w:p w:rsidR="00FF092C" w:rsidRDefault="00FF092C" w:rsidP="002A2903">
            <w:pPr>
              <w:spacing w:line="500" w:lineRule="exac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:rsidR="00602BDA" w:rsidRPr="004D3DD4" w:rsidRDefault="00D90845" w:rsidP="002A2903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泰华施</w:t>
            </w:r>
            <w:r w:rsidR="00F528C1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2016年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在</w:t>
            </w:r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机构</w:t>
            </w:r>
            <w:bookmarkStart w:id="0" w:name="_GoBack"/>
            <w:bookmarkEnd w:id="0"/>
            <w:r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用清洁卫生产品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市场的市场份额</w:t>
            </w:r>
            <w:r w:rsidR="00F528C1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估值约为</w:t>
            </w:r>
            <w:r w:rsidR="00F528C1" w:rsidRPr="002A2903">
              <w:rPr>
                <w:rFonts w:asciiTheme="minorEastAsia" w:eastAsiaTheme="minorEastAsia" w:hAnsiTheme="minorEastAsia" w:hint="eastAsia"/>
                <w:sz w:val="28"/>
                <w:szCs w:val="28"/>
              </w:rPr>
              <w:t>[0-5]</w:t>
            </w:r>
            <w:r w:rsidR="00F528C1" w:rsidRPr="002A2903">
              <w:rPr>
                <w:rFonts w:asciiTheme="minorEastAsia" w:eastAsiaTheme="minorEastAsia" w:hAnsiTheme="minorEastAsia"/>
                <w:sz w:val="28"/>
                <w:szCs w:val="28"/>
              </w:rPr>
              <w:t>%</w:t>
            </w:r>
            <w:r w:rsidR="00F528C1" w:rsidRPr="002A2903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  <w:r w:rsidR="00F528C1">
              <w:rPr>
                <w:rFonts w:asciiTheme="minorEastAsia" w:eastAsiaTheme="minorEastAsia" w:hAnsiTheme="minorEastAsia" w:hint="eastAsia"/>
                <w:sz w:val="28"/>
                <w:szCs w:val="28"/>
              </w:rPr>
              <w:t>泰华施</w:t>
            </w:r>
            <w:r w:rsidR="00F528C1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2016年</w:t>
            </w:r>
            <w:r w:rsidR="00F528C1">
              <w:rPr>
                <w:rFonts w:asciiTheme="minorEastAsia" w:eastAsiaTheme="minorEastAsia" w:hAnsiTheme="minorEastAsia" w:hint="eastAsia"/>
                <w:sz w:val="28"/>
                <w:szCs w:val="28"/>
              </w:rPr>
              <w:t>在</w:t>
            </w:r>
            <w:r w:rsidR="00F528C1" w:rsidRPr="004C06C3">
              <w:rPr>
                <w:rFonts w:asciiTheme="minorEastAsia" w:eastAsiaTheme="minorEastAsia" w:hAnsiTheme="minorEastAsia" w:hint="eastAsia"/>
                <w:sz w:val="28"/>
                <w:szCs w:val="28"/>
              </w:rPr>
              <w:t>工业用清洁卫生产品</w:t>
            </w:r>
            <w:r w:rsidR="00F528C1">
              <w:rPr>
                <w:rFonts w:asciiTheme="minorEastAsia" w:eastAsiaTheme="minorEastAsia" w:hAnsiTheme="minorEastAsia" w:hint="eastAsia"/>
                <w:sz w:val="28"/>
                <w:szCs w:val="28"/>
              </w:rPr>
              <w:t>市场的市场份额</w:t>
            </w:r>
            <w:r w:rsidR="00F528C1" w:rsidRPr="004D3DD4">
              <w:rPr>
                <w:rFonts w:asciiTheme="minorEastAsia" w:eastAsiaTheme="minorEastAsia" w:hAnsiTheme="minorEastAsia" w:hint="eastAsia"/>
                <w:sz w:val="28"/>
                <w:szCs w:val="28"/>
              </w:rPr>
              <w:t>估值约为</w:t>
            </w:r>
            <w:r w:rsidR="003E5BE9" w:rsidRPr="002A2903">
              <w:rPr>
                <w:rFonts w:asciiTheme="minorEastAsia" w:eastAsiaTheme="minorEastAsia" w:hAnsiTheme="minorEastAsia" w:hint="eastAsia"/>
                <w:sz w:val="28"/>
                <w:szCs w:val="28"/>
              </w:rPr>
              <w:t>[10-15]</w:t>
            </w:r>
            <w:r w:rsidR="003E5BE9" w:rsidRPr="002A2903">
              <w:rPr>
                <w:rFonts w:asciiTheme="minorEastAsia" w:eastAsiaTheme="minorEastAsia" w:hAnsiTheme="minorEastAsia"/>
                <w:sz w:val="28"/>
                <w:szCs w:val="28"/>
              </w:rPr>
              <w:t>%</w:t>
            </w:r>
            <w:r w:rsidR="00F528C1" w:rsidRPr="002A2903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</w:tr>
    </w:tbl>
    <w:p w:rsidR="00BB2377" w:rsidRPr="004D3DD4" w:rsidRDefault="00BB2377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8"/>
          <w:szCs w:val="28"/>
        </w:rPr>
      </w:pPr>
    </w:p>
    <w:p w:rsidR="005F167B" w:rsidRPr="004D3DD4" w:rsidRDefault="005F167B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4D3DD4">
        <w:rPr>
          <w:rFonts w:asciiTheme="minorEastAsia" w:eastAsiaTheme="minorEastAsia" w:hAnsiTheme="minorEastAsia" w:hint="eastAsia"/>
          <w:sz w:val="28"/>
          <w:szCs w:val="28"/>
        </w:rPr>
        <w:t>注解：</w:t>
      </w:r>
    </w:p>
    <w:p w:rsidR="005F167B" w:rsidRPr="004D3DD4" w:rsidRDefault="005F167B" w:rsidP="004D3DD4">
      <w:pPr>
        <w:snapToGrid w:val="0"/>
        <w:spacing w:line="360" w:lineRule="auto"/>
        <w:ind w:firstLineChars="200" w:firstLine="560"/>
        <w:jc w:val="left"/>
        <w:rPr>
          <w:rFonts w:asciiTheme="minorEastAsia" w:eastAsiaTheme="minorEastAsia" w:hAnsiTheme="minorEastAsia"/>
          <w:sz w:val="28"/>
          <w:szCs w:val="28"/>
        </w:rPr>
      </w:pPr>
      <w:r w:rsidRPr="004D3DD4">
        <w:rPr>
          <w:rFonts w:asciiTheme="minorEastAsia" w:eastAsiaTheme="minorEastAsia" w:hAnsiTheme="minorEastAsia" w:hint="eastAsia"/>
          <w:sz w:val="28"/>
          <w:szCs w:val="28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4D3DD4">
        <w:rPr>
          <w:rFonts w:asciiTheme="minorEastAsia" w:eastAsiaTheme="minorEastAsia" w:hAnsiTheme="minorEastAsia" w:hint="eastAsia"/>
          <w:sz w:val="28"/>
          <w:szCs w:val="28"/>
        </w:rPr>
        <w:t>没有勾选的</w:t>
      </w:r>
      <w:proofErr w:type="gramEnd"/>
      <w:r w:rsidRPr="004D3DD4">
        <w:rPr>
          <w:rFonts w:asciiTheme="minorEastAsia" w:eastAsiaTheme="minorEastAsia" w:hAnsiTheme="minorEastAsia" w:hint="eastAsia"/>
          <w:sz w:val="28"/>
          <w:szCs w:val="28"/>
        </w:rPr>
        <w:t>，视为本集中不涉及该类型交易。</w:t>
      </w:r>
    </w:p>
    <w:p w:rsidR="00F87C1F" w:rsidRPr="004D3DD4" w:rsidRDefault="005F167B" w:rsidP="004D3DD4">
      <w:pPr>
        <w:spacing w:line="360" w:lineRule="auto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4D3DD4">
        <w:rPr>
          <w:rFonts w:asciiTheme="minorEastAsia" w:eastAsiaTheme="minorEastAsia" w:hAnsiTheme="minorEastAsia" w:hint="eastAsia"/>
          <w:sz w:val="28"/>
          <w:szCs w:val="28"/>
        </w:rPr>
        <w:t>2、申报方申请简易案件的理由是基于第4项、第5项时，无须在备注中说明相关市场和市场份额。</w:t>
      </w:r>
      <w:r w:rsidRPr="004D3DD4">
        <w:rPr>
          <w:rFonts w:asciiTheme="minorEastAsia" w:eastAsiaTheme="minorEastAsia" w:hAnsiTheme="minorEastAsia" w:hint="eastAsia"/>
          <w:sz w:val="28"/>
          <w:szCs w:val="28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4D3DD4">
        <w:rPr>
          <w:rFonts w:asciiTheme="minorEastAsia" w:eastAsiaTheme="minorEastAsia" w:hAnsiTheme="minorEastAsia" w:hint="eastAsia"/>
          <w:sz w:val="28"/>
          <w:szCs w:val="28"/>
        </w:rPr>
        <w:t>同时勾选第1项</w:t>
      </w:r>
      <w:proofErr w:type="gramEnd"/>
      <w:r w:rsidRPr="004D3DD4">
        <w:rPr>
          <w:rFonts w:asciiTheme="minorEastAsia" w:eastAsiaTheme="minorEastAsia" w:hAnsiTheme="minorEastAsia" w:hint="eastAsia"/>
          <w:sz w:val="28"/>
          <w:szCs w:val="28"/>
        </w:rPr>
        <w:t>和第6项理由，并在备注中说明界定的相关商品市场和相关地域市场（无须阐</w:t>
      </w:r>
      <w:r w:rsidRPr="004D3DD4">
        <w:rPr>
          <w:rFonts w:asciiTheme="minorEastAsia" w:eastAsiaTheme="minorEastAsia" w:hAnsiTheme="minorEastAsia" w:hint="eastAsia"/>
          <w:sz w:val="28"/>
          <w:szCs w:val="28"/>
        </w:rPr>
        <w:lastRenderedPageBreak/>
        <w:t>述界定理由），以及相关市场份额。市场份额可以区间形式提供，区间幅度不应超过5%。</w:t>
      </w:r>
    </w:p>
    <w:sectPr w:rsidR="00F87C1F" w:rsidRPr="004D3DD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072" w:rsidRDefault="004E4072" w:rsidP="00094095">
      <w:r>
        <w:separator/>
      </w:r>
    </w:p>
  </w:endnote>
  <w:endnote w:type="continuationSeparator" w:id="0">
    <w:p w:rsidR="004E4072" w:rsidRDefault="004E4072" w:rsidP="00094095">
      <w:r>
        <w:continuationSeparator/>
      </w:r>
    </w:p>
  </w:endnote>
  <w:endnote w:type="continuationNotice" w:id="1">
    <w:p w:rsidR="004E4072" w:rsidRDefault="004E40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072" w:rsidRDefault="004E4072" w:rsidP="00094095">
      <w:r>
        <w:separator/>
      </w:r>
    </w:p>
  </w:footnote>
  <w:footnote w:type="continuationSeparator" w:id="0">
    <w:p w:rsidR="004E4072" w:rsidRDefault="004E4072" w:rsidP="00094095">
      <w:r>
        <w:continuationSeparator/>
      </w:r>
    </w:p>
  </w:footnote>
  <w:footnote w:type="continuationNotice" w:id="1">
    <w:p w:rsidR="004E4072" w:rsidRDefault="004E407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242247F"/>
    <w:multiLevelType w:val="multilevel"/>
    <w:tmpl w:val="5894B8C8"/>
    <w:lvl w:ilvl="0">
      <w:start w:val="1"/>
      <w:numFmt w:val="decimal"/>
      <w:pStyle w:val="AMLNotifyL1"/>
      <w:lvlText w:val="%1."/>
      <w:lvlJc w:val="left"/>
      <w:pPr>
        <w:tabs>
          <w:tab w:val="num" w:pos="706"/>
        </w:tabs>
        <w:ind w:left="0" w:firstLine="0"/>
      </w:pPr>
      <w:rPr>
        <w:b/>
        <w:i w:val="0"/>
        <w:caps w:val="0"/>
        <w:smallCaps w:val="0"/>
        <w:u w:val="none"/>
        <w:lang w:val="en-GB"/>
      </w:rPr>
    </w:lvl>
    <w:lvl w:ilvl="1">
      <w:start w:val="1"/>
      <w:numFmt w:val="decimal"/>
      <w:pStyle w:val="AMLNotifyL2"/>
      <w:isLgl/>
      <w:lvlText w:val="%1.%2"/>
      <w:lvlJc w:val="left"/>
      <w:pPr>
        <w:tabs>
          <w:tab w:val="num" w:pos="709"/>
        </w:tabs>
        <w:ind w:left="0" w:firstLine="0"/>
      </w:pPr>
      <w:rPr>
        <w:b/>
        <w:i w:val="0"/>
        <w:caps w:val="0"/>
        <w:u w:val="none"/>
      </w:rPr>
    </w:lvl>
    <w:lvl w:ilvl="2">
      <w:start w:val="1"/>
      <w:numFmt w:val="decimal"/>
      <w:pStyle w:val="AMLNotifyL3"/>
      <w:lvlText w:val="%1.%2.%3"/>
      <w:lvlJc w:val="left"/>
      <w:pPr>
        <w:tabs>
          <w:tab w:val="num" w:pos="567"/>
        </w:tabs>
        <w:ind w:left="0" w:firstLine="0"/>
      </w:pPr>
      <w:rPr>
        <w:b/>
        <w:i w:val="0"/>
        <w:caps w:val="0"/>
        <w:u w:val="none"/>
      </w:rPr>
    </w:lvl>
    <w:lvl w:ilvl="3">
      <w:start w:val="1"/>
      <w:numFmt w:val="lowerLetter"/>
      <w:pStyle w:val="AMLNotifyL4"/>
      <w:lvlText w:val="(%4)"/>
      <w:lvlJc w:val="left"/>
      <w:pPr>
        <w:tabs>
          <w:tab w:val="num" w:pos="706"/>
        </w:tabs>
        <w:ind w:left="0" w:firstLine="0"/>
      </w:pPr>
      <w:rPr>
        <w:b w:val="0"/>
        <w:i w:val="0"/>
        <w:caps w:val="0"/>
        <w:u w:val="none"/>
      </w:rPr>
    </w:lvl>
    <w:lvl w:ilvl="4">
      <w:start w:val="1"/>
      <w:numFmt w:val="lowerRoman"/>
      <w:pStyle w:val="AMLNotifyL5"/>
      <w:lvlText w:val="(%5)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  <w:b/>
        <w:i/>
        <w:caps w:val="0"/>
        <w:u w:val="none"/>
      </w:rPr>
    </w:lvl>
    <w:lvl w:ilvl="5">
      <w:start w:val="1"/>
      <w:numFmt w:val="decimal"/>
      <w:lvlText w:val="%6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6">
      <w:start w:val="1"/>
      <w:numFmt w:val="decimal"/>
      <w:lvlText w:val="%7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2F50"/>
    <w:rsid w:val="00014B66"/>
    <w:rsid w:val="00033E8A"/>
    <w:rsid w:val="0004505B"/>
    <w:rsid w:val="00045639"/>
    <w:rsid w:val="00055AFA"/>
    <w:rsid w:val="00066632"/>
    <w:rsid w:val="0007277E"/>
    <w:rsid w:val="00087EB3"/>
    <w:rsid w:val="000936E5"/>
    <w:rsid w:val="00094095"/>
    <w:rsid w:val="00094EDF"/>
    <w:rsid w:val="000C45D1"/>
    <w:rsid w:val="000F0FA6"/>
    <w:rsid w:val="000F4A5C"/>
    <w:rsid w:val="000F6218"/>
    <w:rsid w:val="0012451C"/>
    <w:rsid w:val="00126B86"/>
    <w:rsid w:val="0013536A"/>
    <w:rsid w:val="00142528"/>
    <w:rsid w:val="001960FD"/>
    <w:rsid w:val="001A3BEF"/>
    <w:rsid w:val="001E375E"/>
    <w:rsid w:val="002024FE"/>
    <w:rsid w:val="00202FA0"/>
    <w:rsid w:val="0020603A"/>
    <w:rsid w:val="00206578"/>
    <w:rsid w:val="00245776"/>
    <w:rsid w:val="00280BB5"/>
    <w:rsid w:val="002928F0"/>
    <w:rsid w:val="002A095D"/>
    <w:rsid w:val="002A2903"/>
    <w:rsid w:val="002D7299"/>
    <w:rsid w:val="002F2D60"/>
    <w:rsid w:val="00307976"/>
    <w:rsid w:val="003161C4"/>
    <w:rsid w:val="00316E5B"/>
    <w:rsid w:val="00347FC1"/>
    <w:rsid w:val="00384BBD"/>
    <w:rsid w:val="003C53EF"/>
    <w:rsid w:val="003E5BE9"/>
    <w:rsid w:val="00403D61"/>
    <w:rsid w:val="00432EF8"/>
    <w:rsid w:val="00455E7B"/>
    <w:rsid w:val="00462174"/>
    <w:rsid w:val="00464408"/>
    <w:rsid w:val="00487965"/>
    <w:rsid w:val="004C06C3"/>
    <w:rsid w:val="004D3DD4"/>
    <w:rsid w:val="004E4072"/>
    <w:rsid w:val="00506115"/>
    <w:rsid w:val="00546E0E"/>
    <w:rsid w:val="005744E1"/>
    <w:rsid w:val="005B64FB"/>
    <w:rsid w:val="005F167B"/>
    <w:rsid w:val="00602BDA"/>
    <w:rsid w:val="00651923"/>
    <w:rsid w:val="00667E5C"/>
    <w:rsid w:val="006871E3"/>
    <w:rsid w:val="006F2BD9"/>
    <w:rsid w:val="00713068"/>
    <w:rsid w:val="007143FE"/>
    <w:rsid w:val="00721A1D"/>
    <w:rsid w:val="00726F13"/>
    <w:rsid w:val="0074132C"/>
    <w:rsid w:val="00746CD9"/>
    <w:rsid w:val="00762FA4"/>
    <w:rsid w:val="00765B71"/>
    <w:rsid w:val="007712AF"/>
    <w:rsid w:val="007742EF"/>
    <w:rsid w:val="00783FE8"/>
    <w:rsid w:val="007876F1"/>
    <w:rsid w:val="00795988"/>
    <w:rsid w:val="007A67C2"/>
    <w:rsid w:val="007B1BD9"/>
    <w:rsid w:val="007F30E6"/>
    <w:rsid w:val="00825368"/>
    <w:rsid w:val="008608E5"/>
    <w:rsid w:val="00873883"/>
    <w:rsid w:val="008E7A81"/>
    <w:rsid w:val="008F40AD"/>
    <w:rsid w:val="009150AE"/>
    <w:rsid w:val="00942D7C"/>
    <w:rsid w:val="0099132D"/>
    <w:rsid w:val="0099193D"/>
    <w:rsid w:val="00992A86"/>
    <w:rsid w:val="009B7CC9"/>
    <w:rsid w:val="00A364D8"/>
    <w:rsid w:val="00AA5B84"/>
    <w:rsid w:val="00AD1316"/>
    <w:rsid w:val="00B16306"/>
    <w:rsid w:val="00B35C25"/>
    <w:rsid w:val="00B67AA8"/>
    <w:rsid w:val="00B84B93"/>
    <w:rsid w:val="00BA0750"/>
    <w:rsid w:val="00BA6B15"/>
    <w:rsid w:val="00BB2377"/>
    <w:rsid w:val="00BB5E21"/>
    <w:rsid w:val="00BB71E9"/>
    <w:rsid w:val="00C10194"/>
    <w:rsid w:val="00C72BCD"/>
    <w:rsid w:val="00C9068E"/>
    <w:rsid w:val="00C97B84"/>
    <w:rsid w:val="00CA6218"/>
    <w:rsid w:val="00CC42B8"/>
    <w:rsid w:val="00D10553"/>
    <w:rsid w:val="00D21777"/>
    <w:rsid w:val="00D273FC"/>
    <w:rsid w:val="00D47702"/>
    <w:rsid w:val="00D54258"/>
    <w:rsid w:val="00D90845"/>
    <w:rsid w:val="00ED21B1"/>
    <w:rsid w:val="00EF3F2A"/>
    <w:rsid w:val="00EF4134"/>
    <w:rsid w:val="00EF70F4"/>
    <w:rsid w:val="00F02C97"/>
    <w:rsid w:val="00F02CC7"/>
    <w:rsid w:val="00F35123"/>
    <w:rsid w:val="00F500E0"/>
    <w:rsid w:val="00F528C1"/>
    <w:rsid w:val="00F652CB"/>
    <w:rsid w:val="00F87C1F"/>
    <w:rsid w:val="00FC2477"/>
    <w:rsid w:val="00FD5143"/>
    <w:rsid w:val="00FE2746"/>
    <w:rsid w:val="00FE4A7C"/>
    <w:rsid w:val="00FE4BEA"/>
    <w:rsid w:val="00FF09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6CD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6CD9"/>
    <w:rPr>
      <w:kern w:val="2"/>
      <w:sz w:val="18"/>
      <w:szCs w:val="18"/>
    </w:rPr>
  </w:style>
  <w:style w:type="paragraph" w:customStyle="1" w:styleId="AMLNotifyL1">
    <w:name w:val="AMLNotify_L1"/>
    <w:basedOn w:val="a"/>
    <w:next w:val="a"/>
    <w:rsid w:val="007B1BD9"/>
    <w:pPr>
      <w:keepNext/>
      <w:keepLines/>
      <w:widowControl/>
      <w:numPr>
        <w:numId w:val="5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GB"/>
    </w:rPr>
  </w:style>
  <w:style w:type="paragraph" w:customStyle="1" w:styleId="AMLNotifyL2">
    <w:name w:val="AMLNotify_L2"/>
    <w:basedOn w:val="AMLNotifyL1"/>
    <w:next w:val="a"/>
    <w:rsid w:val="007B1BD9"/>
    <w:pPr>
      <w:keepNext w:val="0"/>
      <w:keepLines w:val="0"/>
      <w:numPr>
        <w:ilvl w:val="1"/>
      </w:numPr>
      <w:jc w:val="both"/>
      <w:outlineLvl w:val="1"/>
    </w:pPr>
    <w:rPr>
      <w:smallCaps w:val="0"/>
    </w:rPr>
  </w:style>
  <w:style w:type="paragraph" w:customStyle="1" w:styleId="AMLNotifyL3">
    <w:name w:val="AMLNotify_L3"/>
    <w:basedOn w:val="AMLNotifyL2"/>
    <w:next w:val="a"/>
    <w:rsid w:val="007B1BD9"/>
    <w:pPr>
      <w:numPr>
        <w:ilvl w:val="2"/>
      </w:numPr>
      <w:outlineLvl w:val="2"/>
    </w:pPr>
  </w:style>
  <w:style w:type="paragraph" w:customStyle="1" w:styleId="AMLNotifyL4">
    <w:name w:val="AMLNotify_L4"/>
    <w:basedOn w:val="AMLNotifyL3"/>
    <w:next w:val="a"/>
    <w:rsid w:val="007B1BD9"/>
    <w:pPr>
      <w:numPr>
        <w:ilvl w:val="3"/>
      </w:numPr>
      <w:outlineLvl w:val="3"/>
    </w:pPr>
  </w:style>
  <w:style w:type="paragraph" w:customStyle="1" w:styleId="AMLNotifyL5">
    <w:name w:val="AMLNotify_L5"/>
    <w:basedOn w:val="AMLNotifyL4"/>
    <w:next w:val="a"/>
    <w:rsid w:val="007B1BD9"/>
    <w:pPr>
      <w:numPr>
        <w:ilvl w:val="4"/>
      </w:numPr>
      <w:outlineLvl w:val="4"/>
    </w:pPr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6CD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6CD9"/>
    <w:rPr>
      <w:kern w:val="2"/>
      <w:sz w:val="18"/>
      <w:szCs w:val="18"/>
    </w:rPr>
  </w:style>
  <w:style w:type="paragraph" w:customStyle="1" w:styleId="AMLNotifyL1">
    <w:name w:val="AMLNotify_L1"/>
    <w:basedOn w:val="a"/>
    <w:next w:val="a"/>
    <w:rsid w:val="007B1BD9"/>
    <w:pPr>
      <w:keepNext/>
      <w:keepLines/>
      <w:widowControl/>
      <w:numPr>
        <w:numId w:val="5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GB"/>
    </w:rPr>
  </w:style>
  <w:style w:type="paragraph" w:customStyle="1" w:styleId="AMLNotifyL2">
    <w:name w:val="AMLNotify_L2"/>
    <w:basedOn w:val="AMLNotifyL1"/>
    <w:next w:val="a"/>
    <w:rsid w:val="007B1BD9"/>
    <w:pPr>
      <w:keepNext w:val="0"/>
      <w:keepLines w:val="0"/>
      <w:numPr>
        <w:ilvl w:val="1"/>
      </w:numPr>
      <w:jc w:val="both"/>
      <w:outlineLvl w:val="1"/>
    </w:pPr>
    <w:rPr>
      <w:smallCaps w:val="0"/>
    </w:rPr>
  </w:style>
  <w:style w:type="paragraph" w:customStyle="1" w:styleId="AMLNotifyL3">
    <w:name w:val="AMLNotify_L3"/>
    <w:basedOn w:val="AMLNotifyL2"/>
    <w:next w:val="a"/>
    <w:rsid w:val="007B1BD9"/>
    <w:pPr>
      <w:numPr>
        <w:ilvl w:val="2"/>
      </w:numPr>
      <w:outlineLvl w:val="2"/>
    </w:pPr>
  </w:style>
  <w:style w:type="paragraph" w:customStyle="1" w:styleId="AMLNotifyL4">
    <w:name w:val="AMLNotify_L4"/>
    <w:basedOn w:val="AMLNotifyL3"/>
    <w:next w:val="a"/>
    <w:rsid w:val="007B1BD9"/>
    <w:pPr>
      <w:numPr>
        <w:ilvl w:val="3"/>
      </w:numPr>
      <w:outlineLvl w:val="3"/>
    </w:pPr>
  </w:style>
  <w:style w:type="paragraph" w:customStyle="1" w:styleId="AMLNotifyL5">
    <w:name w:val="AMLNotify_L5"/>
    <w:basedOn w:val="AMLNotifyL4"/>
    <w:next w:val="a"/>
    <w:rsid w:val="007B1BD9"/>
    <w:pPr>
      <w:numPr>
        <w:ilvl w:val="4"/>
      </w:numPr>
      <w:outlineLvl w:val="4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56DDE-8069-40B5-8B9D-4CF283B92C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B1A0C1-8236-44FD-A261-0C2184989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182</Words>
  <Characters>1011</Characters>
  <Application>Microsoft Office Word</Application>
  <DocSecurity>0</DocSecurity>
  <Lines>32</Lines>
  <Paragraphs>10</Paragraphs>
  <ScaleCrop>false</ScaleCrop>
  <Company>King &amp; Wood Mallesons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King &amp; Wood Mallesons</cp:lastModifiedBy>
  <cp:revision>40</cp:revision>
  <cp:lastPrinted>2014-10-08T02:48:00Z</cp:lastPrinted>
  <dcterms:created xsi:type="dcterms:W3CDTF">2017-01-17T02:56:00Z</dcterms:created>
  <dcterms:modified xsi:type="dcterms:W3CDTF">2017-04-14T02:03:00Z</dcterms:modified>
</cp:coreProperties>
</file>