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724D" w:rsidRDefault="00341549">
      <w:pPr>
        <w:widowControl w:val="0"/>
        <w:adjustRightInd/>
        <w:spacing w:line="440" w:lineRule="exact"/>
        <w:jc w:val="center"/>
        <w:rPr>
          <w:rFonts w:ascii="Times New Roman" w:eastAsia="黑体" w:hAnsi="Times New Roman" w:cs="Times New Roman"/>
          <w:b/>
          <w:kern w:val="2"/>
          <w:sz w:val="24"/>
          <w:szCs w:val="24"/>
        </w:rPr>
      </w:pPr>
      <w:bookmarkStart w:id="0" w:name="_GoBack"/>
      <w:bookmarkEnd w:id="0"/>
      <w:r>
        <w:rPr>
          <w:rFonts w:ascii="Times New Roman" w:eastAsia="黑体" w:hAnsi="Times New Roman" w:cs="Times New Roman" w:hint="eastAsia"/>
          <w:b/>
          <w:kern w:val="2"/>
          <w:sz w:val="24"/>
          <w:szCs w:val="24"/>
        </w:rPr>
        <w:t>经营集中简易案件公示表</w:t>
      </w:r>
    </w:p>
    <w:p w:rsidR="00BA724D" w:rsidRDefault="00BA724D">
      <w:pPr>
        <w:widowControl w:val="0"/>
        <w:adjustRightInd/>
        <w:spacing w:line="440" w:lineRule="exact"/>
        <w:jc w:val="center"/>
        <w:rPr>
          <w:rFonts w:ascii="Times New Roman" w:eastAsia="黑体" w:hAnsi="Times New Roman" w:cs="Times New Roman"/>
          <w:b/>
          <w:kern w:val="2"/>
          <w:sz w:val="22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BA724D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黑体" w:hAnsi="Times New Roman" w:cs="Times New Roman"/>
                <w:b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柯尼卡美能达株式会社（“</w:t>
            </w: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柯尼卡美能达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”）与日本产业革新机构（“</w:t>
            </w: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产业革新机构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”）共同收购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Ambry Genetics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公司（“</w:t>
            </w:r>
            <w:r>
              <w:rPr>
                <w:rFonts w:ascii="Times New Roman" w:eastAsia="黑体" w:hAnsi="Times New Roman" w:cs="Times New Roman"/>
                <w:b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公司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”）股权案（“</w:t>
            </w: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本次交易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”）</w:t>
            </w:r>
          </w:p>
        </w:tc>
      </w:tr>
      <w:tr w:rsidR="00BA724D">
        <w:trPr>
          <w:trHeight w:val="993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b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交易概况（限</w:t>
            </w:r>
            <w:r>
              <w:rPr>
                <w:rFonts w:ascii="Times New Roman" w:eastAsia="仿宋" w:hAnsi="Times New Roman" w:cs="Times New Roman"/>
                <w:b/>
                <w:kern w:val="2"/>
                <w:sz w:val="22"/>
                <w:szCs w:val="24"/>
              </w:rPr>
              <w:t>200</w:t>
            </w: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字以内）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 w:rsidP="00FC3882">
            <w:pPr>
              <w:widowControl w:val="0"/>
              <w:adjustRightInd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本次交易内容为柯尼卡美能达和产业革新机构共同收购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100%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的股权。本次交易后，柯尼卡美能达将持有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60%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的股权，产业革新机构将持有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40%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的股权，柯尼卡美能达和产业革新机构将共同控制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公司。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公司为一家私人所有企业，总部位于美国加州亚里索维耶荷市。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公司在中国没有任何业务或销售额</w:t>
            </w:r>
            <w:bookmarkStart w:id="1" w:name="_cp_text_1_1"/>
            <w:r w:rsidR="00FC3882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，也无任何将业务扩展至中国的计划</w:t>
            </w:r>
            <w:bookmarkEnd w:id="1"/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。</w:t>
            </w:r>
          </w:p>
        </w:tc>
      </w:tr>
      <w:tr w:rsidR="00BA724D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b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参与集中的经营者简介</w:t>
            </w: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 xml:space="preserve">1. 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柯尼卡美能达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柯尼卡美能达是一家日本上市公司，其核心业务领域为商用科技、医疗保健、光学系统和功能材料，同时其不断扩大自身的业务领域和规模。</w:t>
            </w:r>
          </w:p>
        </w:tc>
      </w:tr>
      <w:tr w:rsidR="00BA724D">
        <w:trPr>
          <w:trHeight w:val="1573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 xml:space="preserve">2. 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产业革新机构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E1687" w:rsidP="003E1687">
            <w:pPr>
              <w:widowControl w:val="0"/>
              <w:adjustRightInd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产业革新机构是</w:t>
            </w:r>
            <w:r w:rsidR="00341549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一家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由</w:t>
            </w:r>
            <w:r w:rsidR="00341549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日本政府与民间资本共同出资</w:t>
            </w:r>
            <w:bookmarkStart w:id="2" w:name="_cp_text_1_7"/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成立的公私合营</w:t>
            </w:r>
            <w:bookmarkEnd w:id="2"/>
            <w:r w:rsidR="00341549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企业，旨在促进创新和提升日本企业的价值。产业革新机构目前主要投资于清洁能源、电子、</w:t>
            </w:r>
            <w:r w:rsidR="00341549"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IT</w:t>
            </w:r>
            <w:r w:rsidR="00341549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、生物科技以及基础设施（例如水处理）领域。</w:t>
            </w:r>
          </w:p>
        </w:tc>
      </w:tr>
      <w:tr w:rsidR="00BA724D">
        <w:trPr>
          <w:trHeight w:val="2262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1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3. 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</w:t>
            </w:r>
          </w:p>
        </w:tc>
        <w:tc>
          <w:tcPr>
            <w:tcW w:w="5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Pr="003E1687" w:rsidRDefault="00341549" w:rsidP="003E1687">
            <w:pPr>
              <w:widowControl w:val="0"/>
              <w:adjustRightInd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公司是一家私人医疗保健公司，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在美国和加拿大开展基因检测业务</w:t>
            </w:r>
            <w:r w:rsidR="009220EF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，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为遗传疾病和非遗传疾病提供全面的基因检测和基因诊断解决方案。</w:t>
            </w:r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AG</w:t>
            </w:r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专注于检测研发</w:t>
            </w:r>
            <w:r w:rsidR="009220EF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，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不仅针对有重大科学意义但受影响人群少的疾病，也针对具有巨大的市场机会</w:t>
            </w:r>
            <w:bookmarkStart w:id="3" w:name="_cp_text_2_19"/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且</w:t>
            </w:r>
            <w:bookmarkEnd w:id="3"/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受影响人群多的疾病。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AG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公司在</w:t>
            </w:r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中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国</w:t>
            </w:r>
            <w:bookmarkStart w:id="4" w:name="_cp_text_1_25"/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市场上未开展任何</w:t>
            </w:r>
            <w:bookmarkEnd w:id="4"/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业务</w:t>
            </w:r>
            <w:r w:rsidR="003E1687"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，也无任何将业务扩展至中国的计划。</w:t>
            </w:r>
          </w:p>
        </w:tc>
      </w:tr>
      <w:tr w:rsidR="00BA724D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简易案件理由（可多选）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A724D" w:rsidRDefault="00341549">
            <w:pPr>
              <w:widowControl w:val="0"/>
              <w:adjustRightInd/>
              <w:snapToGrid w:val="0"/>
              <w:spacing w:before="120" w:after="120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Wingdings" w:eastAsia="仿宋" w:hAnsi="Wingdings" w:cs="Times New Roman"/>
                <w:kern w:val="2"/>
                <w:sz w:val="22"/>
                <w:szCs w:val="24"/>
              </w:rPr>
              <w:t>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1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、同一相关市场，集中所涉的所有经营者合计市场份额不超过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15%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；</w:t>
            </w:r>
          </w:p>
        </w:tc>
      </w:tr>
      <w:tr w:rsidR="00BA724D">
        <w:trPr>
          <w:trHeight w:val="330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A724D" w:rsidRDefault="00341549">
            <w:pPr>
              <w:widowControl w:val="0"/>
              <w:adjustRightInd/>
              <w:snapToGrid w:val="0"/>
              <w:spacing w:before="120" w:after="120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Wingdings" w:eastAsia="仿宋" w:hAnsi="Wingdings" w:cs="Times New Roman"/>
                <w:kern w:val="2"/>
                <w:sz w:val="22"/>
                <w:szCs w:val="24"/>
              </w:rPr>
              <w:t>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2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、集中所涉经营者之间有纵向业务关系的，且每个经营者在上下游市场的市场份额均不超过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25%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；</w:t>
            </w:r>
          </w:p>
        </w:tc>
      </w:tr>
      <w:tr w:rsidR="00BA724D">
        <w:trPr>
          <w:trHeight w:val="285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Wingdings" w:eastAsia="仿宋" w:hAnsi="Wingdings" w:cs="Times New Roman"/>
                <w:kern w:val="2"/>
                <w:sz w:val="22"/>
                <w:szCs w:val="24"/>
              </w:rPr>
              <w:t>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3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、集中所涉经营者既不在同一相关市场，也没有纵向业务关系的，每个经营者在交易相关的任何市场的份额不超过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25%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；</w:t>
            </w:r>
          </w:p>
        </w:tc>
      </w:tr>
      <w:tr w:rsidR="00BA724D">
        <w:trPr>
          <w:trHeight w:val="870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A724D" w:rsidRDefault="00341549">
            <w:pPr>
              <w:widowControl w:val="0"/>
              <w:adjustRightInd/>
              <w:snapToGrid w:val="0"/>
              <w:spacing w:before="120" w:after="120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Wingdings" w:eastAsia="仿宋" w:hAnsi="Wingdings" w:cs="Times New Roman"/>
                <w:kern w:val="2"/>
                <w:sz w:val="22"/>
                <w:szCs w:val="24"/>
              </w:rPr>
              <w:t>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4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、集中所涉经营者在中国境外设立合营企业，且该合营企业在中国境内没有任何经济活动；</w:t>
            </w:r>
          </w:p>
        </w:tc>
      </w:tr>
      <w:tr w:rsidR="00BA724D">
        <w:trPr>
          <w:trHeight w:val="264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A724D" w:rsidRDefault="00341549">
            <w:pPr>
              <w:widowControl w:val="0"/>
              <w:adjustRightInd/>
              <w:snapToGrid w:val="0"/>
              <w:spacing w:before="120" w:after="120"/>
              <w:rPr>
                <w:rFonts w:ascii="Times New Roman" w:eastAsia="仿宋" w:hAnsi="Times New Roman" w:cs="Times New Roman"/>
                <w:b/>
                <w:kern w:val="2"/>
                <w:szCs w:val="24"/>
              </w:rPr>
            </w:pPr>
            <w:r>
              <w:rPr>
                <w:rFonts w:ascii="Wingdings" w:eastAsia="仿宋" w:hAnsi="Wingdings" w:cs="Times New Roman"/>
                <w:b/>
                <w:kern w:val="2"/>
                <w:sz w:val="22"/>
                <w:szCs w:val="24"/>
              </w:rPr>
              <w:t></w:t>
            </w:r>
            <w:r>
              <w:rPr>
                <w:rFonts w:ascii="Times New Roman" w:eastAsia="仿宋" w:hAnsi="Times New Roman" w:cs="Times New Roman"/>
                <w:b/>
                <w:kern w:val="2"/>
                <w:sz w:val="22"/>
                <w:szCs w:val="24"/>
              </w:rPr>
              <w:t>5</w:t>
            </w:r>
            <w:r>
              <w:rPr>
                <w:rFonts w:ascii="Times New Roman" w:eastAsia="仿宋" w:hAnsi="Times New Roman" w:cs="Times New Roman" w:hint="eastAsia"/>
                <w:b/>
                <w:kern w:val="2"/>
                <w:sz w:val="22"/>
                <w:szCs w:val="24"/>
              </w:rPr>
              <w:t>、集中所涉经营者收购外资企业的股权或资产，且该外资企业在中国境内没有任何经济活动；或</w:t>
            </w:r>
          </w:p>
        </w:tc>
      </w:tr>
      <w:tr w:rsidR="00BA724D">
        <w:trPr>
          <w:trHeight w:val="345"/>
        </w:trPr>
        <w:tc>
          <w:tcPr>
            <w:tcW w:w="180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BA724D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:rsidR="00BA724D" w:rsidRDefault="00341549" w:rsidP="003E1687">
            <w:pPr>
              <w:widowControl w:val="0"/>
              <w:adjustRightInd/>
              <w:snapToGrid w:val="0"/>
              <w:spacing w:before="120" w:after="120"/>
              <w:rPr>
                <w:rFonts w:ascii="Times New Roman" w:eastAsia="仿宋" w:hAnsi="Times New Roman" w:cs="Times New Roman"/>
                <w:kern w:val="2"/>
                <w:szCs w:val="24"/>
              </w:rPr>
            </w:pPr>
            <w:r>
              <w:rPr>
                <w:rFonts w:ascii="Wingdings" w:eastAsia="仿宋" w:hAnsi="Wingdings" w:cs="Times New Roman"/>
                <w:kern w:val="2"/>
                <w:sz w:val="22"/>
                <w:szCs w:val="24"/>
              </w:rPr>
              <w:t></w:t>
            </w:r>
            <w:r>
              <w:rPr>
                <w:rFonts w:ascii="Times New Roman" w:eastAsia="仿宋" w:hAnsi="Times New Roman" w:cs="Times New Roman"/>
                <w:kern w:val="2"/>
                <w:sz w:val="22"/>
                <w:szCs w:val="24"/>
              </w:rPr>
              <w:t>6</w:t>
            </w: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、至少由两个经营者共同控制的合营企业，通过交易被一个或一个以上原有控制者控制。</w:t>
            </w:r>
          </w:p>
        </w:tc>
      </w:tr>
      <w:tr w:rsidR="00BA724D">
        <w:trPr>
          <w:trHeight w:val="351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tcMar>
              <w:left w:w="108" w:type="dxa"/>
              <w:right w:w="108" w:type="dxa"/>
            </w:tcMar>
          </w:tcPr>
          <w:p w:rsidR="00BA724D" w:rsidRDefault="00341549">
            <w:pPr>
              <w:widowControl w:val="0"/>
              <w:adjustRightInd/>
              <w:spacing w:line="500" w:lineRule="exact"/>
              <w:rPr>
                <w:rFonts w:ascii="Times New Roman" w:eastAsia="仿宋" w:hAnsi="Times New Roman" w:cs="Times New Roman"/>
                <w:kern w:val="2"/>
                <w:sz w:val="28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108" w:type="dxa"/>
              <w:right w:w="108" w:type="dxa"/>
            </w:tcMar>
          </w:tcPr>
          <w:p w:rsidR="00BA724D" w:rsidRDefault="003E1687">
            <w:pPr>
              <w:widowControl w:val="0"/>
              <w:adjustRightInd/>
              <w:rPr>
                <w:rFonts w:cs="Times New Roman"/>
                <w:kern w:val="2"/>
                <w:sz w:val="28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kern w:val="2"/>
                <w:sz w:val="22"/>
                <w:szCs w:val="24"/>
              </w:rPr>
              <w:t>不适用</w:t>
            </w:r>
          </w:p>
        </w:tc>
      </w:tr>
    </w:tbl>
    <w:p w:rsidR="00BA724D" w:rsidRDefault="00BA724D" w:rsidP="003E1687">
      <w:pPr>
        <w:widowControl w:val="0"/>
        <w:adjustRightInd/>
        <w:rPr>
          <w:rFonts w:cs="Times New Roman"/>
          <w:kern w:val="2"/>
          <w:szCs w:val="24"/>
        </w:rPr>
      </w:pPr>
    </w:p>
    <w:sectPr w:rsidR="00BA724D" w:rsidSect="003E1687">
      <w:headerReference w:type="default" r:id="rId9"/>
      <w:footerReference w:type="default" r:id="rId10"/>
      <w:headerReference w:type="first" r:id="rId11"/>
      <w:footerReference w:type="first" r:id="rId12"/>
      <w:pgSz w:w="11908" w:h="16833"/>
      <w:pgMar w:top="1440" w:right="1800" w:bottom="1440" w:left="1800" w:header="851" w:footer="992" w:gutter="0"/>
      <w:cols w:space="720"/>
      <w:noEndnote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FDE" w:rsidRDefault="00B34FDE">
      <w:r>
        <w:separator/>
      </w:r>
    </w:p>
  </w:endnote>
  <w:endnote w:type="continuationSeparator" w:id="0">
    <w:p w:rsidR="00B34FDE" w:rsidRDefault="00B34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  <w:lang w:val="zh-CN"/>
      </w:rPr>
    </w:pPr>
  </w:p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  <w:lang w:val="zh-CN"/>
      </w:rPr>
    </w:pPr>
  </w:p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FDE" w:rsidRDefault="00B34FDE">
      <w:r>
        <w:separator/>
      </w:r>
    </w:p>
  </w:footnote>
  <w:footnote w:type="continuationSeparator" w:id="0">
    <w:p w:rsidR="00B34FDE" w:rsidRDefault="00B34F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  <w:lang w:val="zh-CN"/>
      </w:rPr>
    </w:pPr>
  </w:p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  <w:lang w:val="zh-CN"/>
      </w:rPr>
    </w:pPr>
  </w:p>
  <w:p w:rsidR="00BA724D" w:rsidRDefault="00BA724D">
    <w:pPr>
      <w:widowControl w:val="0"/>
      <w:autoSpaceDE w:val="0"/>
      <w:autoSpaceDN w:val="0"/>
      <w:jc w:val="left"/>
      <w:rPr>
        <w:rFonts w:ascii="Times New Roman" w:eastAsia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B7798"/>
    <w:multiLevelType w:val="hybridMultilevel"/>
    <w:tmpl w:val="A73ADD6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strike w:val="0"/>
        <w:dstrike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trike w:val="0"/>
        <w:dstrike w:val="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trike w:val="0"/>
        <w:dstrike w:val="0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trike w:val="0"/>
        <w:dstrike w:val="0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trike w:val="0"/>
        <w:dstrike w:val="0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trike w:val="0"/>
        <w:dstrike w:val="0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trike w:val="0"/>
        <w:dstrike w:val="0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trike w:val="0"/>
        <w:dstrike w:val="0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trike w:val="0"/>
        <w:dstrike w:val="0"/>
      </w:rPr>
    </w:lvl>
  </w:abstractNum>
  <w:abstractNum w:abstractNumId="1">
    <w:nsid w:val="53E40962"/>
    <w:multiLevelType w:val="hybridMultilevel"/>
    <w:tmpl w:val="5F8CEA0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strike w:val="0"/>
        <w:dstrike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  <w:strike w:val="0"/>
        <w:dstrike w:val="0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  <w:strike w:val="0"/>
        <w:dstrike w:val="0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/>
        <w:strike w:val="0"/>
        <w:dstrike w:val="0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  <w:strike w:val="0"/>
        <w:dstrike w:val="0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  <w:strike w:val="0"/>
        <w:dstrike w:val="0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/>
        <w:strike w:val="0"/>
        <w:dstrike w:val="0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  <w:strike w:val="0"/>
        <w:dstrike w:val="0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  <w:strike w:val="0"/>
        <w:dstrike w:val="0"/>
      </w:rPr>
    </w:lvl>
  </w:abstract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3"/>
  <w:doNotUseMarginsForDrawingGridOrigin/>
  <w:drawingGridHorizontalOrigin w:val="1800"/>
  <w:drawingGridVerticalOrigin w:val="1440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85TrailerAuthor" w:val="0"/>
    <w:docVar w:name="85TrailerCAMNUMBER" w:val="0"/>
    <w:docVar w:name="85TrailerDate" w:val="0"/>
    <w:docVar w:name="85TrailerDateCreated" w:val="0"/>
    <w:docVar w:name="85TrailerDateField" w:val="0"/>
    <w:docVar w:name="85TrailerDateLastEdited" w:val="0"/>
    <w:docVar w:name="85TrailerDocName" w:val="0"/>
    <w:docVar w:name="85TrailerDraft" w:val="0"/>
    <w:docVar w:name="85TrailerTime" w:val="0"/>
    <w:docVar w:name="85TrailerType" w:val="102"/>
    <w:docVar w:name="CP_REDLINE" w:val="CP_REDLINE"/>
    <w:docVar w:name="DMReference" w:val="1113438-v1\BEIDMS"/>
    <w:docVar w:name="MPDocID" w:val="ASI-1000466291v2"/>
    <w:docVar w:name="MPDocIDTemplate" w:val="%l-|%n|v%v"/>
    <w:docVar w:name="MPDocIDTemplateDefault" w:val="%l-|%n|v%v"/>
    <w:docVar w:name="NewDocStampType" w:val="7"/>
    <w:docVar w:name="OfficeIni" w:val="Beijing - ENGLISH.ini"/>
    <w:docVar w:name="ReferenceFieldsConverted" w:val="True"/>
    <w:docVar w:name="tableMoveFromStyle" w:val="s"/>
    <w:docVar w:name="tableMoveToStyle" w:val="u"/>
    <w:docVar w:name="textDeleteStyle" w:val="s"/>
    <w:docVar w:name="textInsertStyle" w:val="d"/>
    <w:docVar w:name="textMoveFromStyle" w:val="s"/>
    <w:docVar w:name="textMoveToStyle" w:val="d"/>
  </w:docVars>
  <w:rsids>
    <w:rsidRoot w:val="00341549"/>
    <w:rsid w:val="00001302"/>
    <w:rsid w:val="00341549"/>
    <w:rsid w:val="003E1687"/>
    <w:rsid w:val="009220EF"/>
    <w:rsid w:val="0094616E"/>
    <w:rsid w:val="00B34FDE"/>
    <w:rsid w:val="00B73577"/>
    <w:rsid w:val="00BA724D"/>
    <w:rsid w:val="00FC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="Calibr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dnote reference" w:uiPriority="0"/>
    <w:lsdException w:name="endnote text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djustRightInd w:val="0"/>
      <w:spacing w:after="0" w:line="240" w:lineRule="auto"/>
      <w:jc w:val="both"/>
    </w:pPr>
    <w:rPr>
      <w:rFonts w:ascii="Calibri" w:eastAsia="宋体" w:cs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Char"/>
    <w:uiPriority w:val="99"/>
    <w:semiHidden/>
    <w:pPr>
      <w:jc w:val="left"/>
    </w:pPr>
  </w:style>
  <w:style w:type="character" w:customStyle="1" w:styleId="Char">
    <w:name w:val="尾注文本 Char"/>
    <w:basedOn w:val="a0"/>
    <w:link w:val="a3"/>
    <w:uiPriority w:val="99"/>
    <w:semiHidden/>
    <w:rPr>
      <w:rFonts w:ascii="Calibri" w:eastAsia="宋体" w:hAnsi="Calibri" w:cs="Calibri"/>
    </w:rPr>
  </w:style>
  <w:style w:type="character" w:styleId="a4">
    <w:name w:val="endnote reference"/>
    <w:basedOn w:val="a0"/>
    <w:uiPriority w:val="99"/>
    <w:semiHidden/>
    <w:rPr>
      <w:vertAlign w:val="superscript"/>
    </w:rPr>
  </w:style>
  <w:style w:type="paragraph" w:styleId="a5">
    <w:name w:val="header"/>
    <w:basedOn w:val="a"/>
    <w:link w:val="Char0"/>
    <w:uiPriority w:val="99"/>
    <w:pPr>
      <w:tabs>
        <w:tab w:val="center" w:pos="4153"/>
        <w:tab w:val="right" w:pos="8306"/>
      </w:tabs>
    </w:pPr>
  </w:style>
  <w:style w:type="character" w:customStyle="1" w:styleId="Char0">
    <w:name w:val="页眉 Char"/>
    <w:basedOn w:val="a0"/>
    <w:link w:val="a5"/>
    <w:uiPriority w:val="99"/>
    <w:rPr>
      <w:rFonts w:ascii="Calibri" w:eastAsia="宋体" w:hAnsi="Calibri" w:cs="Calibri"/>
    </w:rPr>
  </w:style>
  <w:style w:type="paragraph" w:styleId="a6">
    <w:name w:val="footer"/>
    <w:basedOn w:val="a"/>
    <w:link w:val="Char1"/>
    <w:uiPriority w:val="99"/>
    <w:pPr>
      <w:tabs>
        <w:tab w:val="center" w:pos="4153"/>
        <w:tab w:val="right" w:pos="8306"/>
      </w:tabs>
    </w:pPr>
  </w:style>
  <w:style w:type="character" w:customStyle="1" w:styleId="Char1">
    <w:name w:val="页脚 Char"/>
    <w:basedOn w:val="a0"/>
    <w:link w:val="a6"/>
    <w:uiPriority w:val="99"/>
    <w:rPr>
      <w:rFonts w:ascii="Calibri" w:eastAsia="宋体" w:hAnsi="Calibri" w:cs="Calibri"/>
    </w:rPr>
  </w:style>
  <w:style w:type="paragraph" w:styleId="a7">
    <w:name w:val="Balloon Text"/>
    <w:basedOn w:val="a"/>
    <w:link w:val="Char2"/>
    <w:uiPriority w:val="99"/>
    <w:semiHidden/>
    <w:rPr>
      <w:rFonts w:ascii="Tahoma" w:eastAsiaTheme="minorEastAsia" w:hAnsi="Tahoma" w:cs="Tahoma"/>
      <w:sz w:val="16"/>
      <w:szCs w:val="16"/>
    </w:rPr>
  </w:style>
  <w:style w:type="character" w:customStyle="1" w:styleId="Char2">
    <w:name w:val="批注框文本 Char"/>
    <w:basedOn w:val="a0"/>
    <w:link w:val="a7"/>
    <w:uiPriority w:val="99"/>
    <w:semiHidden/>
    <w:rPr>
      <w:sz w:val="16"/>
      <w:szCs w:val="16"/>
    </w:rPr>
  </w:style>
  <w:style w:type="paragraph" w:styleId="a8">
    <w:name w:val="List Paragraph"/>
    <w:basedOn w:val="a"/>
    <w:uiPriority w:val="34"/>
    <w:qFormat/>
    <w:pPr>
      <w:ind w:left="720"/>
    </w:pPr>
  </w:style>
  <w:style w:type="paragraph" w:customStyle="1" w:styleId="AMLNotifyCont2">
    <w:name w:val="AMLNotify Cont 2"/>
    <w:basedOn w:val="a"/>
    <w:pPr>
      <w:spacing w:after="240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zzmpTrailerItem">
    <w:name w:val="zzmpTrailerItem"/>
    <w:basedOn w:val="a0"/>
    <w:rPr>
      <w:sz w:val="16"/>
      <w:szCs w:val="16"/>
      <w:vertAlign w:val="subscript"/>
    </w:rPr>
  </w:style>
  <w:style w:type="table" w:styleId="a9">
    <w:name w:val="Table Grid"/>
    <w:basedOn w:val="a1"/>
    <w:uiPriority w:val="99"/>
    <w:pPr>
      <w:adjustRightInd w:val="0"/>
      <w:spacing w:after="0" w:line="240" w:lineRule="auto"/>
    </w:pPr>
    <w:rPr>
      <w:rFonts w:asci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3" w:type="dxa"/>
        <w:bottom w:w="3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8F8455-E89B-4618-BD0A-6FD6D11F22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799</Characters>
  <Application>Microsoft Office Word</Application>
  <DocSecurity>0</DocSecurity>
  <Lines>6</Lines>
  <Paragraphs>1</Paragraphs>
  <ScaleCrop>false</ScaleCrop>
  <Company>Baker &amp; McKenzie</Company>
  <LinksUpToDate>false</LinksUpToDate>
  <CharactersWithSpaces>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lucien.hong</dc:creator>
  <cp:keywords/>
  <dc:description/>
  <cp:lastModifiedBy>FenXun Partners</cp:lastModifiedBy>
  <cp:revision>6</cp:revision>
  <cp:lastPrinted>2017-07-30T13:28:00Z</cp:lastPrinted>
  <dcterms:created xsi:type="dcterms:W3CDTF">2017-07-28T07:24:00Z</dcterms:created>
  <dcterms:modified xsi:type="dcterms:W3CDTF">2017-07-30T13:44:00Z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DOCID">
    <vt:lpwstr>12789323.2</vt:lpwstr>
  </property>
  <property fmtid="{D5CDD505-2E9C-101B-9397-08002B2CF9AE}" pid="3" name="DocXLocation">
    <vt:lpwstr> Every Page</vt:lpwstr>
  </property>
  <property fmtid="{D5CDD505-2E9C-101B-9397-08002B2CF9AE}" pid="4" name="DocXFormat">
    <vt:lpwstr>Blakes DocID</vt:lpwstr>
  </property>
  <property fmtid="{D5CDD505-2E9C-101B-9397-08002B2CF9AE}" pid="5" name="MAIL_MSG_ID1">
    <vt:lpwstr>gFAA9xAl/vizjZiAF/AbzeHa8A8X99wrOzw9RN0x1Ks/CY7HomzASj5y4TyiSFev9bHtNlgPrNSJ4aoi_x000d_rxO8JGmKpjqdwEqjZ4dOLM+luXGr7FpN2I3L5qW4JcxuSXyft4tNItUeBGi5blUirxO8JGmKpjqd_x000d_wEqjZ4dOLM+luXGr7FpN2I3L5qW4JcxuSXyft4tNndd63Zp1Ja1y69vgoLW5Aa6sa2hnNVs/FOCT_x000d_MCSYgHury8Z+W11uB</vt:lpwstr>
  </property>
  <property fmtid="{D5CDD505-2E9C-101B-9397-08002B2CF9AE}" pid="6" name=" MAIL_MSG_ID2">
    <vt:lpwstr>mYRkvgA2HGWgMeMh/tZ198QL5LFibLy2cl3tOe2yCQaRfZLYWG7ogrTrR4E_x000d_P4FIqetPirwiRc//cAB2yQMLl3Y/c9+3kWygmQ==</vt:lpwstr>
  </property>
  <property fmtid="{D5CDD505-2E9C-101B-9397-08002B2CF9AE}" pid="7" name="RESPONSE_SENDER_NAME">
    <vt:lpwstr>sAAA4E8dREqJqIoUYu6Xz0UR2s2eS1OOujI5P01ZRBR3Fe4=</vt:lpwstr>
  </property>
  <property fmtid="{D5CDD505-2E9C-101B-9397-08002B2CF9AE}" pid="8" name="EMAIL_OWNER_ADDRESS">
    <vt:lpwstr>4AAAv2pPQheLA5W0eVXD12NKqaH2NwmDDm52PQ6hzUCUdJnRVV6uCnNAaQ==</vt:lpwstr>
  </property>
</Properties>
</file>