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615A" w:rsidRDefault="009B729B">
      <w:pPr>
        <w:spacing w:line="480" w:lineRule="exact"/>
        <w:rPr>
          <w:rFonts w:ascii="Times New Roman" w:eastAsia="仿宋_GB2312" w:hAnsi="Times New Roman"/>
          <w:sz w:val="28"/>
          <w:szCs w:val="28"/>
        </w:rPr>
      </w:pPr>
      <w:r>
        <w:rPr>
          <w:rFonts w:ascii="Times New Roman" w:eastAsia="仿宋_GB2312" w:hAnsi="Times New Roman"/>
          <w:sz w:val="28"/>
          <w:szCs w:val="28"/>
        </w:rPr>
        <w:t>附件二、</w:t>
      </w:r>
    </w:p>
    <w:p w:rsidR="00D8615A" w:rsidRDefault="009B729B" w:rsidP="000D5EBC">
      <w:pPr>
        <w:spacing w:line="440" w:lineRule="exact"/>
        <w:jc w:val="center"/>
        <w:rPr>
          <w:rFonts w:ascii="Times New Roman" w:eastAsia="黑体" w:hAnsi="Times New Roman" w:hint="eastAsia"/>
          <w:sz w:val="30"/>
          <w:szCs w:val="30"/>
        </w:rPr>
      </w:pPr>
      <w:r>
        <w:rPr>
          <w:rFonts w:ascii="Times New Roman" w:eastAsia="黑体" w:hAnsi="Times New Roman"/>
          <w:sz w:val="30"/>
          <w:szCs w:val="30"/>
        </w:rPr>
        <w:t>经营者集中简易案件公示表</w:t>
      </w:r>
    </w:p>
    <w:p w:rsidR="000D5EBC" w:rsidRPr="000D5EBC" w:rsidRDefault="000D5EBC" w:rsidP="000D5EBC">
      <w:pPr>
        <w:jc w:val="center"/>
        <w:rPr>
          <w:rFonts w:ascii="Times New Roman" w:eastAsia="仿宋_GB2312" w:hAnsi="Times New Roman"/>
          <w:sz w:val="10"/>
          <w:szCs w:val="10"/>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D8615A">
        <w:tc>
          <w:tcPr>
            <w:tcW w:w="1809" w:type="dxa"/>
            <w:shd w:val="clear" w:color="auto" w:fill="D9D9D9"/>
          </w:tcPr>
          <w:p w:rsidR="00D8615A" w:rsidRDefault="009B729B">
            <w:pPr>
              <w:spacing w:line="500" w:lineRule="exact"/>
              <w:rPr>
                <w:rFonts w:ascii="Times New Roman" w:eastAsia="仿宋_GB2312" w:hAnsi="Times New Roman"/>
                <w:sz w:val="28"/>
                <w:szCs w:val="28"/>
              </w:rPr>
            </w:pPr>
            <w:r>
              <w:rPr>
                <w:rFonts w:ascii="Times New Roman" w:eastAsia="仿宋_GB2312" w:hAnsi="Times New Roman"/>
                <w:sz w:val="28"/>
                <w:szCs w:val="28"/>
              </w:rPr>
              <w:t>案件名称</w:t>
            </w:r>
          </w:p>
        </w:tc>
        <w:tc>
          <w:tcPr>
            <w:tcW w:w="6949" w:type="dxa"/>
            <w:gridSpan w:val="2"/>
          </w:tcPr>
          <w:p w:rsidR="00D8615A" w:rsidRPr="00585D99" w:rsidRDefault="002E68B2">
            <w:pPr>
              <w:spacing w:line="500" w:lineRule="exact"/>
              <w:rPr>
                <w:rFonts w:asciiTheme="minorHAnsi" w:eastAsiaTheme="minorEastAsia" w:hAnsiTheme="minorHAnsi"/>
                <w:sz w:val="28"/>
                <w:szCs w:val="28"/>
              </w:rPr>
            </w:pPr>
            <w:r w:rsidRPr="002E68B2">
              <w:rPr>
                <w:rFonts w:asciiTheme="minorHAnsi" w:eastAsiaTheme="minorEastAsia" w:hAnsiTheme="minorHAnsi" w:hint="eastAsia"/>
                <w:sz w:val="28"/>
                <w:szCs w:val="28"/>
              </w:rPr>
              <w:t>英国石油公司（</w:t>
            </w:r>
            <w:r w:rsidRPr="002E68B2">
              <w:rPr>
                <w:rFonts w:asciiTheme="minorHAnsi" w:eastAsiaTheme="minorEastAsia" w:hAnsiTheme="minorHAnsi" w:hint="eastAsia"/>
                <w:sz w:val="28"/>
                <w:szCs w:val="28"/>
              </w:rPr>
              <w:t xml:space="preserve">BP </w:t>
            </w:r>
            <w:proofErr w:type="spellStart"/>
            <w:r w:rsidRPr="002E68B2">
              <w:rPr>
                <w:rFonts w:asciiTheme="minorHAnsi" w:eastAsiaTheme="minorEastAsia" w:hAnsiTheme="minorHAnsi" w:hint="eastAsia"/>
                <w:sz w:val="28"/>
                <w:szCs w:val="28"/>
              </w:rPr>
              <w:t>p.l.c</w:t>
            </w:r>
            <w:proofErr w:type="spellEnd"/>
            <w:r w:rsidRPr="002E68B2">
              <w:rPr>
                <w:rFonts w:asciiTheme="minorHAnsi" w:eastAsiaTheme="minorEastAsia" w:hAnsiTheme="minorHAnsi" w:hint="eastAsia"/>
                <w:sz w:val="28"/>
                <w:szCs w:val="28"/>
              </w:rPr>
              <w:t>）取得阿克西昂能源控股有限责任公司（</w:t>
            </w:r>
            <w:proofErr w:type="spellStart"/>
            <w:r w:rsidRPr="002E68B2">
              <w:rPr>
                <w:rFonts w:asciiTheme="minorHAnsi" w:eastAsiaTheme="minorEastAsia" w:hAnsiTheme="minorHAnsi" w:hint="eastAsia"/>
                <w:sz w:val="28"/>
                <w:szCs w:val="28"/>
              </w:rPr>
              <w:t>Axion</w:t>
            </w:r>
            <w:proofErr w:type="spellEnd"/>
            <w:r w:rsidRPr="002E68B2">
              <w:rPr>
                <w:rFonts w:asciiTheme="minorHAnsi" w:eastAsiaTheme="minorEastAsia" w:hAnsiTheme="minorHAnsi" w:hint="eastAsia"/>
                <w:sz w:val="28"/>
                <w:szCs w:val="28"/>
              </w:rPr>
              <w:t xml:space="preserve"> Energy Holding S.L.</w:t>
            </w:r>
            <w:r w:rsidRPr="002E68B2">
              <w:rPr>
                <w:rFonts w:asciiTheme="minorHAnsi" w:eastAsiaTheme="minorEastAsia" w:hAnsiTheme="minorHAnsi" w:hint="eastAsia"/>
                <w:sz w:val="28"/>
                <w:szCs w:val="28"/>
              </w:rPr>
              <w:t>）的控制权案</w:t>
            </w:r>
          </w:p>
        </w:tc>
      </w:tr>
      <w:tr w:rsidR="00D8615A">
        <w:trPr>
          <w:trHeight w:val="993"/>
        </w:trPr>
        <w:tc>
          <w:tcPr>
            <w:tcW w:w="1809" w:type="dxa"/>
            <w:shd w:val="clear" w:color="auto" w:fill="D9D9D9"/>
          </w:tcPr>
          <w:p w:rsidR="00D8615A" w:rsidRDefault="009B729B">
            <w:pPr>
              <w:spacing w:line="500" w:lineRule="exact"/>
              <w:rPr>
                <w:rFonts w:ascii="Times New Roman" w:eastAsia="仿宋_GB2312" w:hAnsi="Times New Roman"/>
                <w:sz w:val="28"/>
                <w:szCs w:val="28"/>
              </w:rPr>
            </w:pPr>
            <w:r>
              <w:rPr>
                <w:rFonts w:ascii="Times New Roman" w:eastAsia="仿宋_GB2312" w:hAnsi="Times New Roman"/>
                <w:sz w:val="28"/>
                <w:szCs w:val="28"/>
              </w:rPr>
              <w:t>交易概况（限</w:t>
            </w:r>
            <w:r>
              <w:rPr>
                <w:rFonts w:ascii="Times New Roman" w:eastAsia="仿宋_GB2312" w:hAnsi="Times New Roman"/>
                <w:sz w:val="28"/>
                <w:szCs w:val="28"/>
              </w:rPr>
              <w:t>200</w:t>
            </w:r>
            <w:r>
              <w:rPr>
                <w:rFonts w:ascii="Times New Roman" w:eastAsia="仿宋_GB2312" w:hAnsi="Times New Roman"/>
                <w:sz w:val="28"/>
                <w:szCs w:val="28"/>
              </w:rPr>
              <w:t>字内）</w:t>
            </w:r>
          </w:p>
        </w:tc>
        <w:tc>
          <w:tcPr>
            <w:tcW w:w="6949" w:type="dxa"/>
            <w:gridSpan w:val="2"/>
          </w:tcPr>
          <w:p w:rsidR="00D8615A" w:rsidRDefault="00D3378B" w:rsidP="00440D04">
            <w:pPr>
              <w:spacing w:line="500" w:lineRule="exact"/>
              <w:jc w:val="left"/>
              <w:rPr>
                <w:rFonts w:asciiTheme="minorHAnsi" w:eastAsiaTheme="minorEastAsia" w:hAnsiTheme="minorHAnsi" w:hint="eastAsia"/>
                <w:sz w:val="28"/>
                <w:szCs w:val="28"/>
              </w:rPr>
            </w:pPr>
            <w:r>
              <w:rPr>
                <w:rFonts w:asciiTheme="minorHAnsi" w:eastAsiaTheme="minorEastAsia" w:hAnsiTheme="minorHAnsi" w:hint="eastAsia"/>
                <w:sz w:val="28"/>
                <w:szCs w:val="28"/>
              </w:rPr>
              <w:t>本次交易中，</w:t>
            </w:r>
            <w:r w:rsidR="00F0776B" w:rsidRPr="00F0776B">
              <w:rPr>
                <w:rFonts w:asciiTheme="minorHAnsi" w:eastAsiaTheme="minorEastAsia" w:hAnsiTheme="minorHAnsi" w:hint="eastAsia"/>
                <w:sz w:val="28"/>
                <w:szCs w:val="28"/>
              </w:rPr>
              <w:t>英国石油公司通过和布里达斯公司（</w:t>
            </w:r>
            <w:proofErr w:type="spellStart"/>
            <w:r w:rsidR="00F0776B" w:rsidRPr="00F0776B">
              <w:rPr>
                <w:rFonts w:asciiTheme="minorHAnsi" w:eastAsiaTheme="minorEastAsia" w:hAnsiTheme="minorHAnsi" w:hint="eastAsia"/>
                <w:sz w:val="28"/>
                <w:szCs w:val="28"/>
              </w:rPr>
              <w:t>Bridas</w:t>
            </w:r>
            <w:proofErr w:type="spellEnd"/>
            <w:r w:rsidR="00F0776B" w:rsidRPr="00F0776B">
              <w:rPr>
                <w:rFonts w:asciiTheme="minorHAnsi" w:eastAsiaTheme="minorEastAsia" w:hAnsiTheme="minorHAnsi" w:hint="eastAsia"/>
                <w:sz w:val="28"/>
                <w:szCs w:val="28"/>
              </w:rPr>
              <w:t xml:space="preserve"> Corporation</w:t>
            </w:r>
            <w:r w:rsidR="00F0776B" w:rsidRPr="00F0776B">
              <w:rPr>
                <w:rFonts w:asciiTheme="minorHAnsi" w:eastAsiaTheme="minorEastAsia" w:hAnsiTheme="minorHAnsi" w:hint="eastAsia"/>
                <w:sz w:val="28"/>
                <w:szCs w:val="28"/>
              </w:rPr>
              <w:t>）建立一家控股公司的方式取得阿克西昂能源控股有限责任公司的共同控制权。</w:t>
            </w:r>
            <w:r w:rsidRPr="00D3378B">
              <w:rPr>
                <w:rFonts w:asciiTheme="minorHAnsi" w:eastAsiaTheme="minorEastAsia" w:hAnsiTheme="minorHAnsi" w:hint="eastAsia"/>
                <w:sz w:val="28"/>
                <w:szCs w:val="28"/>
              </w:rPr>
              <w:t>本次交易前，布里达斯对阿克西昂具有单独控制权。本次交易后，英国石油将与布里达斯共同控制阿克西昂。</w:t>
            </w:r>
          </w:p>
          <w:p w:rsidR="00440D04" w:rsidRPr="00585D99" w:rsidRDefault="00440D04" w:rsidP="00F95970">
            <w:pPr>
              <w:spacing w:line="500" w:lineRule="exact"/>
              <w:jc w:val="left"/>
              <w:rPr>
                <w:rFonts w:asciiTheme="minorHAnsi" w:eastAsiaTheme="minorEastAsia" w:hAnsiTheme="minorHAnsi"/>
                <w:sz w:val="28"/>
                <w:szCs w:val="28"/>
              </w:rPr>
            </w:pPr>
            <w:r w:rsidRPr="00440D04">
              <w:rPr>
                <w:rFonts w:asciiTheme="minorHAnsi" w:eastAsiaTheme="minorEastAsia" w:hAnsiTheme="minorHAnsi" w:hint="eastAsia"/>
                <w:sz w:val="28"/>
                <w:szCs w:val="28"/>
              </w:rPr>
              <w:t>阿克西昂主要在阿根廷、乌拉圭和巴拉圭境内从事原油的精炼及石油产品及其衍生品（包括燃料、润滑剂、液化石油气和化学物）的销售。</w:t>
            </w:r>
            <w:r w:rsidR="00F95970">
              <w:rPr>
                <w:rFonts w:asciiTheme="minorHAnsi" w:eastAsiaTheme="minorEastAsia" w:hAnsiTheme="minorHAnsi" w:hint="eastAsia"/>
                <w:sz w:val="28"/>
                <w:szCs w:val="28"/>
              </w:rPr>
              <w:t>阿克西昂</w:t>
            </w:r>
            <w:r w:rsidR="00F95970">
              <w:rPr>
                <w:rFonts w:asciiTheme="minorHAnsi" w:eastAsiaTheme="minorEastAsia" w:hAnsiTheme="minorHAnsi" w:hint="eastAsia"/>
                <w:sz w:val="28"/>
                <w:szCs w:val="28"/>
              </w:rPr>
              <w:t>不</w:t>
            </w:r>
            <w:r w:rsidR="00F95970">
              <w:rPr>
                <w:rFonts w:asciiTheme="minorHAnsi" w:eastAsiaTheme="minorEastAsia" w:hAnsiTheme="minorHAnsi" w:hint="eastAsia"/>
                <w:sz w:val="28"/>
                <w:szCs w:val="28"/>
              </w:rPr>
              <w:t>在中国从事经营活动。</w:t>
            </w:r>
            <w:r w:rsidR="006B3846">
              <w:rPr>
                <w:rFonts w:asciiTheme="minorHAnsi" w:eastAsiaTheme="minorEastAsia" w:hAnsiTheme="minorHAnsi" w:hint="eastAsia"/>
                <w:sz w:val="28"/>
                <w:szCs w:val="28"/>
              </w:rPr>
              <w:t>在中国，无论是</w:t>
            </w:r>
            <w:r w:rsidR="00F95970">
              <w:rPr>
                <w:rFonts w:asciiTheme="minorHAnsi" w:eastAsiaTheme="minorEastAsia" w:hAnsiTheme="minorHAnsi" w:hint="eastAsia"/>
                <w:sz w:val="28"/>
                <w:szCs w:val="28"/>
              </w:rPr>
              <w:t>英国石油</w:t>
            </w:r>
            <w:r w:rsidR="006B3846">
              <w:rPr>
                <w:rFonts w:asciiTheme="minorHAnsi" w:eastAsiaTheme="minorEastAsia" w:hAnsiTheme="minorHAnsi" w:hint="eastAsia"/>
                <w:sz w:val="28"/>
                <w:szCs w:val="28"/>
              </w:rPr>
              <w:t>还是布里达斯，与阿克西昂</w:t>
            </w:r>
            <w:r w:rsidR="00D3122F">
              <w:rPr>
                <w:rFonts w:asciiTheme="minorHAnsi" w:eastAsiaTheme="minorEastAsia" w:hAnsiTheme="minorHAnsi" w:hint="eastAsia"/>
                <w:sz w:val="28"/>
                <w:szCs w:val="28"/>
              </w:rPr>
              <w:t>都不存在</w:t>
            </w:r>
            <w:r w:rsidR="00F20A15">
              <w:rPr>
                <w:rFonts w:asciiTheme="minorHAnsi" w:eastAsiaTheme="minorEastAsia" w:hAnsiTheme="minorHAnsi" w:hint="eastAsia"/>
                <w:sz w:val="28"/>
                <w:szCs w:val="28"/>
              </w:rPr>
              <w:t>横向重叠或纵向关系。</w:t>
            </w:r>
          </w:p>
        </w:tc>
      </w:tr>
      <w:tr w:rsidR="00D8615A" w:rsidTr="00756E49">
        <w:trPr>
          <w:trHeight w:val="468"/>
        </w:trPr>
        <w:tc>
          <w:tcPr>
            <w:tcW w:w="1809" w:type="dxa"/>
            <w:vMerge w:val="restart"/>
            <w:shd w:val="clear" w:color="auto" w:fill="D9D9D9"/>
          </w:tcPr>
          <w:p w:rsidR="00D8615A" w:rsidRDefault="009B729B">
            <w:pPr>
              <w:spacing w:line="500" w:lineRule="exact"/>
              <w:rPr>
                <w:rFonts w:ascii="Times New Roman" w:eastAsia="仿宋_GB2312" w:hAnsi="Times New Roman"/>
                <w:sz w:val="28"/>
                <w:szCs w:val="28"/>
              </w:rPr>
            </w:pPr>
            <w:r>
              <w:rPr>
                <w:rFonts w:ascii="Times New Roman" w:eastAsia="仿宋_GB2312" w:hAnsi="Times New Roman"/>
                <w:sz w:val="28"/>
                <w:szCs w:val="28"/>
              </w:rPr>
              <w:t>参与集中的经营者简介</w:t>
            </w:r>
          </w:p>
        </w:tc>
        <w:tc>
          <w:tcPr>
            <w:tcW w:w="1796" w:type="dxa"/>
            <w:vAlign w:val="center"/>
          </w:tcPr>
          <w:p w:rsidR="00D8615A" w:rsidRPr="00585D99" w:rsidRDefault="009B729B" w:rsidP="00756E49">
            <w:pPr>
              <w:spacing w:line="500" w:lineRule="exact"/>
              <w:jc w:val="center"/>
              <w:rPr>
                <w:rFonts w:asciiTheme="minorHAnsi" w:eastAsiaTheme="minorEastAsia" w:hAnsiTheme="minorHAnsi"/>
                <w:sz w:val="28"/>
                <w:szCs w:val="28"/>
              </w:rPr>
            </w:pPr>
            <w:r w:rsidRPr="00585D99">
              <w:rPr>
                <w:rFonts w:asciiTheme="minorHAnsi" w:eastAsiaTheme="minorEastAsia" w:hAnsiTheme="minorHAnsi"/>
                <w:sz w:val="28"/>
                <w:szCs w:val="28"/>
              </w:rPr>
              <w:t>1</w:t>
            </w:r>
            <w:r w:rsidR="002E68B2">
              <w:rPr>
                <w:rFonts w:asciiTheme="minorHAnsi" w:eastAsiaTheme="minorEastAsia" w:hAnsiTheme="minorHAnsi"/>
                <w:sz w:val="28"/>
                <w:szCs w:val="28"/>
              </w:rPr>
              <w:t>、</w:t>
            </w:r>
            <w:r w:rsidR="002E68B2">
              <w:rPr>
                <w:rFonts w:asciiTheme="minorHAnsi" w:eastAsiaTheme="minorEastAsia" w:hAnsiTheme="minorHAnsi" w:hint="eastAsia"/>
                <w:sz w:val="28"/>
                <w:szCs w:val="28"/>
              </w:rPr>
              <w:t>英国石油</w:t>
            </w:r>
          </w:p>
        </w:tc>
        <w:tc>
          <w:tcPr>
            <w:tcW w:w="5153" w:type="dxa"/>
          </w:tcPr>
          <w:p w:rsidR="00A50AC4" w:rsidRPr="00585D99" w:rsidRDefault="00842D54" w:rsidP="00D81A99">
            <w:pPr>
              <w:spacing w:line="500" w:lineRule="exact"/>
              <w:rPr>
                <w:rFonts w:asciiTheme="minorHAnsi" w:eastAsiaTheme="minorEastAsia" w:hAnsiTheme="minorHAnsi"/>
                <w:sz w:val="28"/>
                <w:szCs w:val="28"/>
              </w:rPr>
            </w:pPr>
            <w:r w:rsidRPr="00842D54">
              <w:rPr>
                <w:rFonts w:asciiTheme="minorHAnsi" w:eastAsiaTheme="minorEastAsia" w:hAnsiTheme="minorHAnsi" w:hint="eastAsia"/>
                <w:sz w:val="28"/>
                <w:szCs w:val="28"/>
              </w:rPr>
              <w:t>英国石油是一家全球领先的能源公司，主要业务领域包括：（</w:t>
            </w:r>
            <w:r w:rsidRPr="00842D54">
              <w:rPr>
                <w:rFonts w:asciiTheme="minorHAnsi" w:eastAsiaTheme="minorEastAsia" w:hAnsiTheme="minorHAnsi" w:hint="eastAsia"/>
                <w:sz w:val="28"/>
                <w:szCs w:val="28"/>
              </w:rPr>
              <w:t>1</w:t>
            </w:r>
            <w:r w:rsidRPr="00842D54">
              <w:rPr>
                <w:rFonts w:asciiTheme="minorHAnsi" w:eastAsiaTheme="minorEastAsia" w:hAnsiTheme="minorHAnsi" w:hint="eastAsia"/>
                <w:sz w:val="28"/>
                <w:szCs w:val="28"/>
              </w:rPr>
              <w:t>）原油和天然气的勘探、生产和销售；（</w:t>
            </w:r>
            <w:r w:rsidRPr="00842D54">
              <w:rPr>
                <w:rFonts w:asciiTheme="minorHAnsi" w:eastAsiaTheme="minorEastAsia" w:hAnsiTheme="minorHAnsi" w:hint="eastAsia"/>
                <w:sz w:val="28"/>
                <w:szCs w:val="28"/>
              </w:rPr>
              <w:t>2</w:t>
            </w:r>
            <w:r w:rsidRPr="00842D54">
              <w:rPr>
                <w:rFonts w:asciiTheme="minorHAnsi" w:eastAsiaTheme="minorEastAsia" w:hAnsiTheme="minorHAnsi" w:hint="eastAsia"/>
                <w:sz w:val="28"/>
                <w:szCs w:val="28"/>
              </w:rPr>
              <w:t>）精炼产品的精炼、销售、供应和运输；（</w:t>
            </w:r>
            <w:r w:rsidRPr="00842D54">
              <w:rPr>
                <w:rFonts w:asciiTheme="minorHAnsi" w:eastAsiaTheme="minorEastAsia" w:hAnsiTheme="minorHAnsi" w:hint="eastAsia"/>
                <w:sz w:val="28"/>
                <w:szCs w:val="28"/>
              </w:rPr>
              <w:t>3</w:t>
            </w:r>
            <w:r w:rsidRPr="00842D54">
              <w:rPr>
                <w:rFonts w:asciiTheme="minorHAnsi" w:eastAsiaTheme="minorEastAsia" w:hAnsiTheme="minorHAnsi" w:hint="eastAsia"/>
                <w:sz w:val="28"/>
                <w:szCs w:val="28"/>
              </w:rPr>
              <w:t>）石化及相关产品；（</w:t>
            </w:r>
            <w:r w:rsidRPr="00842D54">
              <w:rPr>
                <w:rFonts w:asciiTheme="minorHAnsi" w:eastAsiaTheme="minorEastAsia" w:hAnsiTheme="minorHAnsi" w:hint="eastAsia"/>
                <w:sz w:val="28"/>
                <w:szCs w:val="28"/>
              </w:rPr>
              <w:t>4</w:t>
            </w:r>
            <w:r w:rsidRPr="00842D54">
              <w:rPr>
                <w:rFonts w:asciiTheme="minorHAnsi" w:eastAsiaTheme="minorEastAsia" w:hAnsiTheme="minorHAnsi" w:hint="eastAsia"/>
                <w:sz w:val="28"/>
                <w:szCs w:val="28"/>
              </w:rPr>
              <w:t>）替代能源。</w:t>
            </w:r>
          </w:p>
        </w:tc>
      </w:tr>
      <w:tr w:rsidR="00D8615A" w:rsidTr="00F20A15">
        <w:trPr>
          <w:trHeight w:val="1550"/>
        </w:trPr>
        <w:tc>
          <w:tcPr>
            <w:tcW w:w="1809" w:type="dxa"/>
            <w:vMerge/>
            <w:shd w:val="clear" w:color="auto" w:fill="D9D9D9"/>
          </w:tcPr>
          <w:p w:rsidR="00D8615A" w:rsidRDefault="00D8615A">
            <w:pPr>
              <w:spacing w:line="500" w:lineRule="exact"/>
              <w:rPr>
                <w:rFonts w:ascii="Times New Roman" w:eastAsia="仿宋_GB2312" w:hAnsi="Times New Roman"/>
                <w:sz w:val="28"/>
                <w:szCs w:val="28"/>
              </w:rPr>
            </w:pPr>
          </w:p>
        </w:tc>
        <w:tc>
          <w:tcPr>
            <w:tcW w:w="1796" w:type="dxa"/>
            <w:vAlign w:val="center"/>
          </w:tcPr>
          <w:p w:rsidR="00D8615A" w:rsidRPr="00585D99" w:rsidRDefault="009B729B" w:rsidP="002E68B2">
            <w:pPr>
              <w:spacing w:line="500" w:lineRule="exact"/>
              <w:jc w:val="center"/>
              <w:rPr>
                <w:rFonts w:asciiTheme="minorHAnsi" w:eastAsiaTheme="minorEastAsia" w:hAnsiTheme="minorHAnsi"/>
                <w:sz w:val="28"/>
                <w:szCs w:val="28"/>
              </w:rPr>
            </w:pPr>
            <w:r w:rsidRPr="00585D99">
              <w:rPr>
                <w:rFonts w:asciiTheme="minorHAnsi" w:eastAsiaTheme="minorEastAsia" w:hAnsiTheme="minorHAnsi"/>
                <w:sz w:val="28"/>
                <w:szCs w:val="28"/>
              </w:rPr>
              <w:t>2</w:t>
            </w:r>
            <w:r w:rsidRPr="00585D99">
              <w:rPr>
                <w:rFonts w:asciiTheme="minorHAnsi" w:eastAsiaTheme="minorEastAsia" w:hAnsiTheme="minorHAnsi"/>
                <w:sz w:val="28"/>
                <w:szCs w:val="28"/>
              </w:rPr>
              <w:t>、</w:t>
            </w:r>
            <w:r w:rsidR="002E68B2">
              <w:rPr>
                <w:rFonts w:asciiTheme="minorHAnsi" w:eastAsiaTheme="minorEastAsia" w:hAnsiTheme="minorHAnsi" w:hint="eastAsia"/>
                <w:sz w:val="28"/>
                <w:szCs w:val="28"/>
              </w:rPr>
              <w:t>布里达斯</w:t>
            </w:r>
          </w:p>
        </w:tc>
        <w:tc>
          <w:tcPr>
            <w:tcW w:w="5153" w:type="dxa"/>
          </w:tcPr>
          <w:p w:rsidR="00842D54" w:rsidRPr="00842D54" w:rsidRDefault="00842D54" w:rsidP="00842D54">
            <w:pPr>
              <w:spacing w:line="500" w:lineRule="exact"/>
              <w:jc w:val="left"/>
              <w:rPr>
                <w:rFonts w:asciiTheme="minorHAnsi" w:eastAsiaTheme="minorEastAsia" w:hAnsiTheme="minorHAnsi"/>
                <w:sz w:val="28"/>
                <w:szCs w:val="28"/>
              </w:rPr>
            </w:pPr>
            <w:r w:rsidRPr="00842D54">
              <w:rPr>
                <w:rFonts w:asciiTheme="minorHAnsi" w:eastAsiaTheme="minorEastAsia" w:hAnsiTheme="minorHAnsi" w:hint="eastAsia"/>
                <w:sz w:val="28"/>
                <w:szCs w:val="28"/>
              </w:rPr>
              <w:t>布里达斯是一家非上市企业，作为控股实体持有的下属公司主要业务领域包括：</w:t>
            </w:r>
          </w:p>
          <w:p w:rsidR="00842D54" w:rsidRPr="00842D54" w:rsidRDefault="00842D54" w:rsidP="00842D54">
            <w:pPr>
              <w:numPr>
                <w:ilvl w:val="0"/>
                <w:numId w:val="3"/>
              </w:numPr>
              <w:spacing w:line="500" w:lineRule="exact"/>
              <w:jc w:val="left"/>
              <w:rPr>
                <w:rFonts w:asciiTheme="minorHAnsi" w:eastAsiaTheme="minorEastAsia" w:hAnsiTheme="minorHAnsi"/>
                <w:sz w:val="28"/>
                <w:szCs w:val="28"/>
              </w:rPr>
            </w:pPr>
            <w:r w:rsidRPr="00842D54">
              <w:rPr>
                <w:rFonts w:asciiTheme="minorHAnsi" w:eastAsiaTheme="minorEastAsia" w:hAnsiTheme="minorHAnsi" w:hint="eastAsia"/>
                <w:sz w:val="28"/>
                <w:szCs w:val="28"/>
              </w:rPr>
              <w:t>原油和天然气储藏的勘探与开发，以及原油和天然气的生产，</w:t>
            </w:r>
          </w:p>
          <w:p w:rsidR="00842D54" w:rsidRPr="00842D54" w:rsidRDefault="00842D54" w:rsidP="00842D54">
            <w:pPr>
              <w:numPr>
                <w:ilvl w:val="0"/>
                <w:numId w:val="3"/>
              </w:numPr>
              <w:spacing w:line="500" w:lineRule="exact"/>
              <w:jc w:val="left"/>
              <w:rPr>
                <w:rFonts w:asciiTheme="minorHAnsi" w:eastAsiaTheme="minorEastAsia" w:hAnsiTheme="minorHAnsi"/>
                <w:sz w:val="28"/>
                <w:szCs w:val="28"/>
              </w:rPr>
            </w:pPr>
            <w:r w:rsidRPr="00842D54">
              <w:rPr>
                <w:rFonts w:asciiTheme="minorHAnsi" w:eastAsiaTheme="minorEastAsia" w:hAnsiTheme="minorHAnsi" w:hint="eastAsia"/>
                <w:sz w:val="28"/>
                <w:szCs w:val="28"/>
              </w:rPr>
              <w:t>原油、天然气和石化产品的销售和运输，</w:t>
            </w:r>
          </w:p>
          <w:p w:rsidR="00842D54" w:rsidRPr="00842D54" w:rsidRDefault="00842D54" w:rsidP="00842D54">
            <w:pPr>
              <w:numPr>
                <w:ilvl w:val="0"/>
                <w:numId w:val="3"/>
              </w:numPr>
              <w:spacing w:line="500" w:lineRule="exact"/>
              <w:jc w:val="left"/>
              <w:rPr>
                <w:rFonts w:asciiTheme="minorHAnsi" w:eastAsiaTheme="minorEastAsia" w:hAnsiTheme="minorHAnsi"/>
                <w:sz w:val="28"/>
                <w:szCs w:val="28"/>
              </w:rPr>
            </w:pPr>
            <w:r w:rsidRPr="00842D54">
              <w:rPr>
                <w:rFonts w:asciiTheme="minorHAnsi" w:eastAsiaTheme="minorEastAsia" w:hAnsiTheme="minorHAnsi" w:hint="eastAsia"/>
                <w:sz w:val="28"/>
                <w:szCs w:val="28"/>
              </w:rPr>
              <w:t>天然气的采集、处理、加工和分销，以及发电，</w:t>
            </w:r>
          </w:p>
          <w:p w:rsidR="00842D54" w:rsidRDefault="00842D54" w:rsidP="00842D54">
            <w:pPr>
              <w:numPr>
                <w:ilvl w:val="0"/>
                <w:numId w:val="3"/>
              </w:numPr>
              <w:spacing w:line="500" w:lineRule="exact"/>
              <w:jc w:val="left"/>
              <w:rPr>
                <w:rFonts w:asciiTheme="minorHAnsi" w:eastAsiaTheme="minorEastAsia" w:hAnsiTheme="minorHAnsi" w:hint="eastAsia"/>
                <w:sz w:val="28"/>
                <w:szCs w:val="28"/>
              </w:rPr>
            </w:pPr>
            <w:r w:rsidRPr="00842D54">
              <w:rPr>
                <w:rFonts w:asciiTheme="minorHAnsi" w:eastAsiaTheme="minorEastAsia" w:hAnsiTheme="minorHAnsi" w:hint="eastAsia"/>
                <w:sz w:val="28"/>
                <w:szCs w:val="28"/>
              </w:rPr>
              <w:lastRenderedPageBreak/>
              <w:t>油井钻凿和油井服务，以及</w:t>
            </w:r>
          </w:p>
          <w:p w:rsidR="00D8615A" w:rsidRPr="00585D99" w:rsidRDefault="00842D54" w:rsidP="00842D54">
            <w:pPr>
              <w:numPr>
                <w:ilvl w:val="0"/>
                <w:numId w:val="3"/>
              </w:numPr>
              <w:spacing w:line="500" w:lineRule="exact"/>
              <w:jc w:val="left"/>
              <w:rPr>
                <w:rFonts w:asciiTheme="minorHAnsi" w:eastAsiaTheme="minorEastAsia" w:hAnsiTheme="minorHAnsi"/>
                <w:sz w:val="28"/>
                <w:szCs w:val="28"/>
              </w:rPr>
            </w:pPr>
            <w:r w:rsidRPr="00842D54">
              <w:rPr>
                <w:rFonts w:asciiTheme="minorHAnsi" w:eastAsiaTheme="minorEastAsia" w:hAnsiTheme="minorHAnsi" w:hint="eastAsia"/>
                <w:sz w:val="28"/>
                <w:szCs w:val="28"/>
              </w:rPr>
              <w:t>燃料，润滑剂和相关衍生石化产品的精炼、生产和销售。</w:t>
            </w:r>
          </w:p>
        </w:tc>
      </w:tr>
      <w:tr w:rsidR="00D8615A">
        <w:trPr>
          <w:trHeight w:val="279"/>
        </w:trPr>
        <w:tc>
          <w:tcPr>
            <w:tcW w:w="1809" w:type="dxa"/>
            <w:vMerge w:val="restart"/>
            <w:shd w:val="clear" w:color="auto" w:fill="D9D9D9"/>
          </w:tcPr>
          <w:p w:rsidR="00D8615A" w:rsidRPr="00756E49" w:rsidRDefault="009B729B" w:rsidP="00756E49">
            <w:pPr>
              <w:spacing w:line="500" w:lineRule="exact"/>
              <w:rPr>
                <w:rFonts w:ascii="Times New Roman" w:eastAsia="仿宋_GB2312" w:hAnsi="Times New Roman"/>
                <w:sz w:val="28"/>
                <w:szCs w:val="28"/>
              </w:rPr>
            </w:pPr>
            <w:r>
              <w:rPr>
                <w:rFonts w:ascii="Times New Roman" w:eastAsia="仿宋_GB2312" w:hAnsi="Times New Roman"/>
                <w:sz w:val="28"/>
                <w:szCs w:val="28"/>
              </w:rPr>
              <w:lastRenderedPageBreak/>
              <w:t>简易案件理由（可以单选，也可以多选）</w:t>
            </w:r>
          </w:p>
        </w:tc>
        <w:tc>
          <w:tcPr>
            <w:tcW w:w="6949" w:type="dxa"/>
            <w:gridSpan w:val="2"/>
          </w:tcPr>
          <w:p w:rsidR="00D8615A" w:rsidRDefault="00D14185">
            <w:pPr>
              <w:spacing w:line="500" w:lineRule="exact"/>
              <w:rPr>
                <w:rFonts w:ascii="Times New Roman" w:eastAsia="仿宋_GB2312" w:hAnsi="Times New Roman"/>
                <w:sz w:val="28"/>
                <w:szCs w:val="28"/>
              </w:rPr>
            </w:pPr>
            <w:r>
              <w:rPr>
                <w:rFonts w:ascii="Times New Roman" w:eastAsia="仿宋_GB2312" w:hAnsi="Times New Roman"/>
                <w:sz w:val="28"/>
                <w:szCs w:val="28"/>
              </w:rPr>
              <w:t>□</w:t>
            </w:r>
            <w:r w:rsidR="009B729B">
              <w:rPr>
                <w:rFonts w:ascii="Times New Roman" w:eastAsia="仿宋_GB2312" w:hAnsi="Times New Roman"/>
                <w:sz w:val="28"/>
                <w:szCs w:val="28"/>
              </w:rPr>
              <w:t>1</w:t>
            </w:r>
            <w:r w:rsidR="009B729B">
              <w:rPr>
                <w:rFonts w:ascii="Times New Roman" w:eastAsia="仿宋_GB2312" w:hAnsi="Times New Roman"/>
                <w:sz w:val="28"/>
                <w:szCs w:val="28"/>
              </w:rPr>
              <w:t>、在同一相关市场，所有参与集中的经营者所占市场份额之和小于</w:t>
            </w:r>
            <w:r w:rsidR="009B729B">
              <w:rPr>
                <w:rFonts w:ascii="Times New Roman" w:eastAsia="仿宋_GB2312" w:hAnsi="Times New Roman"/>
                <w:sz w:val="28"/>
                <w:szCs w:val="28"/>
              </w:rPr>
              <w:t>15%</w:t>
            </w:r>
            <w:r w:rsidR="009B729B">
              <w:rPr>
                <w:rFonts w:ascii="Times New Roman" w:eastAsia="仿宋_GB2312" w:hAnsi="Times New Roman"/>
                <w:sz w:val="28"/>
                <w:szCs w:val="28"/>
              </w:rPr>
              <w:t>。</w:t>
            </w:r>
          </w:p>
        </w:tc>
      </w:tr>
      <w:tr w:rsidR="00D8615A">
        <w:trPr>
          <w:trHeight w:val="330"/>
        </w:trPr>
        <w:tc>
          <w:tcPr>
            <w:tcW w:w="1809" w:type="dxa"/>
            <w:vMerge/>
            <w:shd w:val="clear" w:color="auto" w:fill="D9D9D9"/>
          </w:tcPr>
          <w:p w:rsidR="00D8615A" w:rsidRDefault="00D8615A">
            <w:pPr>
              <w:spacing w:line="500" w:lineRule="exact"/>
              <w:rPr>
                <w:rFonts w:ascii="Times New Roman" w:eastAsia="仿宋_GB2312" w:hAnsi="Times New Roman"/>
                <w:sz w:val="28"/>
                <w:szCs w:val="28"/>
              </w:rPr>
            </w:pPr>
          </w:p>
        </w:tc>
        <w:tc>
          <w:tcPr>
            <w:tcW w:w="6949" w:type="dxa"/>
            <w:gridSpan w:val="2"/>
          </w:tcPr>
          <w:p w:rsidR="00D8615A" w:rsidRDefault="00D14185">
            <w:pPr>
              <w:spacing w:line="500" w:lineRule="exact"/>
              <w:rPr>
                <w:rFonts w:ascii="Times New Roman" w:eastAsia="仿宋_GB2312" w:hAnsi="Times New Roman"/>
                <w:sz w:val="28"/>
                <w:szCs w:val="28"/>
              </w:rPr>
            </w:pPr>
            <w:r>
              <w:rPr>
                <w:rFonts w:ascii="Times New Roman" w:eastAsia="仿宋_GB2312" w:hAnsi="Times New Roman"/>
                <w:sz w:val="28"/>
                <w:szCs w:val="28"/>
              </w:rPr>
              <w:t>□</w:t>
            </w:r>
            <w:r w:rsidR="009B729B">
              <w:rPr>
                <w:rFonts w:ascii="Times New Roman" w:eastAsia="仿宋_GB2312" w:hAnsi="Times New Roman"/>
                <w:sz w:val="28"/>
                <w:szCs w:val="28"/>
              </w:rPr>
              <w:t>2</w:t>
            </w:r>
            <w:r w:rsidR="009B729B">
              <w:rPr>
                <w:rFonts w:ascii="Times New Roman" w:eastAsia="仿宋_GB2312" w:hAnsi="Times New Roman"/>
                <w:sz w:val="28"/>
                <w:szCs w:val="28"/>
              </w:rPr>
              <w:t>、存在上下游关系的参与集中的经营者，在上下游市场所占的市场份额均小于</w:t>
            </w:r>
            <w:r w:rsidR="009B729B">
              <w:rPr>
                <w:rFonts w:ascii="Times New Roman" w:eastAsia="仿宋_GB2312" w:hAnsi="Times New Roman"/>
                <w:sz w:val="28"/>
                <w:szCs w:val="28"/>
              </w:rPr>
              <w:t>25%</w:t>
            </w:r>
            <w:r w:rsidR="009B729B">
              <w:rPr>
                <w:rFonts w:ascii="Times New Roman" w:eastAsia="仿宋_GB2312" w:hAnsi="Times New Roman"/>
                <w:sz w:val="28"/>
                <w:szCs w:val="28"/>
              </w:rPr>
              <w:t>。</w:t>
            </w:r>
          </w:p>
        </w:tc>
      </w:tr>
      <w:tr w:rsidR="00D8615A">
        <w:trPr>
          <w:trHeight w:val="285"/>
        </w:trPr>
        <w:tc>
          <w:tcPr>
            <w:tcW w:w="1809" w:type="dxa"/>
            <w:vMerge/>
            <w:shd w:val="clear" w:color="auto" w:fill="D9D9D9"/>
          </w:tcPr>
          <w:p w:rsidR="00D8615A" w:rsidRDefault="00D8615A">
            <w:pPr>
              <w:spacing w:line="500" w:lineRule="exact"/>
              <w:rPr>
                <w:rFonts w:ascii="Times New Roman" w:eastAsia="仿宋_GB2312" w:hAnsi="Times New Roman"/>
                <w:sz w:val="28"/>
                <w:szCs w:val="28"/>
              </w:rPr>
            </w:pPr>
          </w:p>
        </w:tc>
        <w:tc>
          <w:tcPr>
            <w:tcW w:w="6949" w:type="dxa"/>
            <w:gridSpan w:val="2"/>
          </w:tcPr>
          <w:p w:rsidR="00D8615A" w:rsidRDefault="00842D54">
            <w:pPr>
              <w:spacing w:line="500" w:lineRule="exact"/>
              <w:rPr>
                <w:rFonts w:ascii="Times New Roman" w:eastAsia="仿宋_GB2312" w:hAnsi="Times New Roman"/>
                <w:sz w:val="28"/>
                <w:szCs w:val="28"/>
              </w:rPr>
            </w:pPr>
            <w:r>
              <w:rPr>
                <w:rFonts w:ascii="Times New Roman" w:eastAsia="仿宋_GB2312" w:hAnsi="Times New Roman"/>
                <w:sz w:val="28"/>
                <w:szCs w:val="28"/>
              </w:rPr>
              <w:t>□</w:t>
            </w:r>
            <w:r w:rsidR="009B729B">
              <w:rPr>
                <w:rFonts w:ascii="Times New Roman" w:eastAsia="仿宋_GB2312" w:hAnsi="Times New Roman"/>
                <w:sz w:val="28"/>
                <w:szCs w:val="28"/>
              </w:rPr>
              <w:t>3</w:t>
            </w:r>
            <w:r w:rsidR="009B729B">
              <w:rPr>
                <w:rFonts w:ascii="Times New Roman" w:eastAsia="仿宋_GB2312" w:hAnsi="Times New Roman"/>
                <w:sz w:val="28"/>
                <w:szCs w:val="28"/>
              </w:rPr>
              <w:t>、不在同一相关市场、也不存在上下游关系的参与集中的经营者，在与交易有关的每个市场所占的份额均小于</w:t>
            </w:r>
            <w:r w:rsidR="009B729B">
              <w:rPr>
                <w:rFonts w:ascii="Times New Roman" w:eastAsia="仿宋_GB2312" w:hAnsi="Times New Roman"/>
                <w:sz w:val="28"/>
                <w:szCs w:val="28"/>
              </w:rPr>
              <w:t>25%</w:t>
            </w:r>
            <w:r w:rsidR="009B729B">
              <w:rPr>
                <w:rFonts w:ascii="Times New Roman" w:eastAsia="仿宋_GB2312" w:hAnsi="Times New Roman"/>
                <w:sz w:val="28"/>
                <w:szCs w:val="28"/>
              </w:rPr>
              <w:t>。</w:t>
            </w:r>
          </w:p>
        </w:tc>
      </w:tr>
      <w:tr w:rsidR="00D8615A">
        <w:trPr>
          <w:trHeight w:val="870"/>
        </w:trPr>
        <w:tc>
          <w:tcPr>
            <w:tcW w:w="1809" w:type="dxa"/>
            <w:vMerge/>
            <w:shd w:val="clear" w:color="auto" w:fill="D9D9D9"/>
          </w:tcPr>
          <w:p w:rsidR="00D8615A" w:rsidRDefault="00D8615A">
            <w:pPr>
              <w:spacing w:line="500" w:lineRule="exact"/>
              <w:rPr>
                <w:rFonts w:ascii="Times New Roman" w:eastAsia="仿宋_GB2312" w:hAnsi="Times New Roman"/>
                <w:sz w:val="28"/>
                <w:szCs w:val="28"/>
              </w:rPr>
            </w:pPr>
          </w:p>
        </w:tc>
        <w:tc>
          <w:tcPr>
            <w:tcW w:w="6949" w:type="dxa"/>
            <w:gridSpan w:val="2"/>
          </w:tcPr>
          <w:p w:rsidR="00D8615A" w:rsidRDefault="00F0776B" w:rsidP="00842D54">
            <w:pPr>
              <w:spacing w:line="500" w:lineRule="exact"/>
              <w:rPr>
                <w:rFonts w:ascii="Times New Roman" w:eastAsia="仿宋_GB2312" w:hAnsi="Times New Roman"/>
                <w:sz w:val="28"/>
                <w:szCs w:val="28"/>
              </w:rPr>
            </w:pPr>
            <w:r>
              <w:rPr>
                <w:rFonts w:ascii="Times New Roman" w:eastAsia="仿宋_GB2312" w:hAnsi="Times New Roman"/>
                <w:sz w:val="28"/>
                <w:szCs w:val="28"/>
              </w:rPr>
              <w:t>□</w:t>
            </w:r>
            <w:r w:rsidR="009B729B">
              <w:rPr>
                <w:rFonts w:ascii="Times New Roman" w:eastAsia="仿宋_GB2312" w:hAnsi="Times New Roman"/>
                <w:sz w:val="28"/>
                <w:szCs w:val="28"/>
              </w:rPr>
              <w:t>4</w:t>
            </w:r>
            <w:r w:rsidR="009B729B">
              <w:rPr>
                <w:rFonts w:ascii="Times New Roman" w:eastAsia="仿宋_GB2312" w:hAnsi="Times New Roman"/>
                <w:sz w:val="28"/>
                <w:szCs w:val="28"/>
              </w:rPr>
              <w:t>、参与集中的经营者在中国境外设立合营企业，合营企业不在中国境内从事经济活动。</w:t>
            </w:r>
          </w:p>
        </w:tc>
      </w:tr>
      <w:tr w:rsidR="00D8615A">
        <w:trPr>
          <w:trHeight w:val="264"/>
        </w:trPr>
        <w:tc>
          <w:tcPr>
            <w:tcW w:w="1809" w:type="dxa"/>
            <w:vMerge/>
            <w:shd w:val="clear" w:color="auto" w:fill="D9D9D9"/>
          </w:tcPr>
          <w:p w:rsidR="00D8615A" w:rsidRDefault="00D8615A">
            <w:pPr>
              <w:spacing w:line="500" w:lineRule="exact"/>
              <w:rPr>
                <w:rFonts w:ascii="Times New Roman" w:eastAsia="仿宋_GB2312" w:hAnsi="Times New Roman"/>
                <w:sz w:val="28"/>
                <w:szCs w:val="28"/>
              </w:rPr>
            </w:pPr>
          </w:p>
        </w:tc>
        <w:tc>
          <w:tcPr>
            <w:tcW w:w="6949" w:type="dxa"/>
            <w:gridSpan w:val="2"/>
          </w:tcPr>
          <w:p w:rsidR="00D8615A" w:rsidRDefault="00F0776B" w:rsidP="00F0776B">
            <w:pPr>
              <w:spacing w:line="500" w:lineRule="exact"/>
              <w:rPr>
                <w:rFonts w:ascii="Times New Roman" w:eastAsia="仿宋_GB2312" w:hAnsi="Times New Roman"/>
                <w:sz w:val="28"/>
                <w:szCs w:val="28"/>
              </w:rPr>
            </w:pPr>
            <w:r w:rsidRPr="00585D99">
              <w:rPr>
                <w:rFonts w:ascii="Wingdings" w:eastAsia="仿宋_GB2312" w:hAnsi="Wingdings"/>
                <w:sz w:val="28"/>
                <w:szCs w:val="28"/>
              </w:rPr>
              <w:sym w:font="Wingdings" w:char="F0FE"/>
            </w:r>
            <w:r w:rsidR="009B729B">
              <w:rPr>
                <w:rFonts w:ascii="Times New Roman" w:eastAsia="仿宋_GB2312" w:hAnsi="Times New Roman"/>
                <w:sz w:val="28"/>
                <w:szCs w:val="28"/>
              </w:rPr>
              <w:t>5</w:t>
            </w:r>
            <w:r w:rsidR="009B729B">
              <w:rPr>
                <w:rFonts w:ascii="Times New Roman" w:eastAsia="仿宋_GB2312" w:hAnsi="Times New Roman"/>
                <w:sz w:val="28"/>
                <w:szCs w:val="28"/>
              </w:rPr>
              <w:t>、参与集中的经营者收购境外企业股权或资产的，该境外企业不在中国境内从事经济活动。</w:t>
            </w:r>
          </w:p>
        </w:tc>
      </w:tr>
      <w:tr w:rsidR="00D8615A">
        <w:trPr>
          <w:trHeight w:val="345"/>
        </w:trPr>
        <w:tc>
          <w:tcPr>
            <w:tcW w:w="1809" w:type="dxa"/>
            <w:vMerge/>
            <w:shd w:val="clear" w:color="auto" w:fill="D9D9D9"/>
          </w:tcPr>
          <w:p w:rsidR="00D8615A" w:rsidRDefault="00D8615A">
            <w:pPr>
              <w:spacing w:line="500" w:lineRule="exact"/>
              <w:rPr>
                <w:rFonts w:ascii="Times New Roman" w:eastAsia="仿宋_GB2312" w:hAnsi="Times New Roman"/>
                <w:sz w:val="28"/>
                <w:szCs w:val="28"/>
              </w:rPr>
            </w:pPr>
          </w:p>
        </w:tc>
        <w:tc>
          <w:tcPr>
            <w:tcW w:w="6949" w:type="dxa"/>
            <w:gridSpan w:val="2"/>
          </w:tcPr>
          <w:p w:rsidR="00D8615A" w:rsidRDefault="009B729B">
            <w:pPr>
              <w:spacing w:line="500" w:lineRule="exact"/>
              <w:rPr>
                <w:rFonts w:ascii="Times New Roman" w:eastAsia="仿宋_GB2312" w:hAnsi="Times New Roman"/>
                <w:sz w:val="28"/>
                <w:szCs w:val="28"/>
              </w:rPr>
            </w:pPr>
            <w:r>
              <w:rPr>
                <w:rFonts w:ascii="Times New Roman" w:eastAsia="仿宋_GB2312" w:hAnsi="Times New Roman"/>
                <w:sz w:val="28"/>
                <w:szCs w:val="28"/>
              </w:rPr>
              <w:t>□6</w:t>
            </w:r>
            <w:r>
              <w:rPr>
                <w:rFonts w:ascii="Times New Roman" w:eastAsia="仿宋_GB2312" w:hAnsi="Times New Roman"/>
                <w:sz w:val="28"/>
                <w:szCs w:val="28"/>
              </w:rPr>
              <w:t>、由两个以上的经营者共同控制的合营企业，通过集中被其中一个或一个以上经营者控制。</w:t>
            </w:r>
          </w:p>
        </w:tc>
      </w:tr>
      <w:tr w:rsidR="00D8615A">
        <w:tc>
          <w:tcPr>
            <w:tcW w:w="1809" w:type="dxa"/>
            <w:shd w:val="clear" w:color="auto" w:fill="D9D9D9"/>
          </w:tcPr>
          <w:p w:rsidR="00D8615A" w:rsidRDefault="009B729B">
            <w:pPr>
              <w:spacing w:line="500" w:lineRule="exact"/>
              <w:rPr>
                <w:rFonts w:ascii="Times New Roman" w:eastAsia="仿宋_GB2312" w:hAnsi="Times New Roman"/>
                <w:sz w:val="28"/>
                <w:szCs w:val="28"/>
              </w:rPr>
            </w:pPr>
            <w:r>
              <w:rPr>
                <w:rFonts w:ascii="Times New Roman" w:eastAsia="仿宋_GB2312" w:hAnsi="Times New Roman"/>
                <w:sz w:val="28"/>
                <w:szCs w:val="28"/>
              </w:rPr>
              <w:t>备注</w:t>
            </w:r>
          </w:p>
        </w:tc>
        <w:tc>
          <w:tcPr>
            <w:tcW w:w="6949" w:type="dxa"/>
            <w:gridSpan w:val="2"/>
          </w:tcPr>
          <w:p w:rsidR="0079082F" w:rsidRPr="00585D99" w:rsidRDefault="0079082F" w:rsidP="00585D99">
            <w:pPr>
              <w:pStyle w:val="aa"/>
              <w:spacing w:line="500" w:lineRule="exact"/>
              <w:ind w:left="360" w:firstLineChars="0" w:firstLine="0"/>
              <w:rPr>
                <w:rFonts w:asciiTheme="minorHAnsi" w:eastAsiaTheme="minorEastAsia" w:hAnsiTheme="minorHAnsi" w:cs="Arial"/>
                <w:sz w:val="28"/>
                <w:szCs w:val="28"/>
              </w:rPr>
            </w:pPr>
          </w:p>
        </w:tc>
      </w:tr>
    </w:tbl>
    <w:p w:rsidR="00D8615A" w:rsidRDefault="009B729B">
      <w:pPr>
        <w:snapToGrid w:val="0"/>
        <w:spacing w:line="240" w:lineRule="exact"/>
        <w:jc w:val="left"/>
        <w:rPr>
          <w:rFonts w:ascii="Times New Roman" w:eastAsia="楷体_GB2312" w:hAnsi="Times New Roman"/>
          <w:sz w:val="24"/>
          <w:szCs w:val="24"/>
        </w:rPr>
      </w:pPr>
      <w:r>
        <w:rPr>
          <w:rFonts w:ascii="Times New Roman" w:eastAsia="楷体_GB2312" w:hAnsi="Times New Roman"/>
          <w:sz w:val="24"/>
          <w:szCs w:val="24"/>
        </w:rPr>
        <w:t>注解：</w:t>
      </w:r>
    </w:p>
    <w:p w:rsidR="00D8615A" w:rsidRDefault="009B729B" w:rsidP="00CD52BF">
      <w:pPr>
        <w:snapToGrid w:val="0"/>
        <w:spacing w:line="360" w:lineRule="auto"/>
        <w:ind w:firstLineChars="200" w:firstLine="480"/>
        <w:jc w:val="left"/>
        <w:rPr>
          <w:rFonts w:ascii="Times New Roman" w:eastAsia="楷体_GB2312" w:hAnsi="Times New Roman"/>
          <w:sz w:val="24"/>
          <w:szCs w:val="24"/>
        </w:rPr>
      </w:pPr>
      <w:r>
        <w:rPr>
          <w:rFonts w:ascii="Times New Roman" w:eastAsia="楷体_GB2312" w:hAnsi="Times New Roman"/>
          <w:sz w:val="24"/>
          <w:szCs w:val="24"/>
        </w:rPr>
        <w:t>1</w:t>
      </w:r>
      <w:r>
        <w:rPr>
          <w:rFonts w:ascii="Times New Roman" w:eastAsia="楷体_GB2312" w:hAnsi="Times New Roman"/>
          <w:sz w:val="24"/>
          <w:szCs w:val="24"/>
        </w:rPr>
        <w:t>、申报方申请简易案件的理由是基于</w:t>
      </w:r>
      <w:r>
        <w:rPr>
          <w:rFonts w:ascii="Times New Roman" w:eastAsia="楷体_GB2312" w:hAnsi="Times New Roman"/>
          <w:sz w:val="24"/>
          <w:szCs w:val="24"/>
        </w:rPr>
        <w:t>1-3</w:t>
      </w:r>
      <w:r>
        <w:rPr>
          <w:rFonts w:ascii="Times New Roman" w:eastAsia="楷体_GB2312" w:hAnsi="Times New Roman"/>
          <w:sz w:val="24"/>
          <w:szCs w:val="24"/>
        </w:rPr>
        <w:t>项时，须在备注中说明界定的相关商品市场和相关地域市场（无须阐述界定理由），以及相关市场份额；市场份额可以区间形式提供，区间幅度不应超过</w:t>
      </w:r>
      <w:r>
        <w:rPr>
          <w:rFonts w:ascii="Times New Roman" w:eastAsia="楷体_GB2312" w:hAnsi="Times New Roman"/>
          <w:sz w:val="24"/>
          <w:szCs w:val="24"/>
        </w:rPr>
        <w:t>5%</w:t>
      </w:r>
      <w:r>
        <w:rPr>
          <w:rFonts w:ascii="Times New Roman" w:eastAsia="楷体_GB2312" w:hAnsi="Times New Roman"/>
          <w:sz w:val="24"/>
          <w:szCs w:val="24"/>
        </w:rPr>
        <w:t>。</w:t>
      </w:r>
      <w:r>
        <w:rPr>
          <w:rFonts w:ascii="Times New Roman" w:eastAsia="楷体_GB2312" w:hAnsi="Times New Roman"/>
          <w:sz w:val="24"/>
          <w:szCs w:val="24"/>
        </w:rPr>
        <w:t>1-3</w:t>
      </w:r>
      <w:r>
        <w:rPr>
          <w:rFonts w:ascii="Times New Roman" w:eastAsia="楷体_GB2312" w:hAnsi="Times New Roman"/>
          <w:sz w:val="24"/>
          <w:szCs w:val="24"/>
        </w:rPr>
        <w:t>项可以多选，也可单选；</w:t>
      </w:r>
      <w:proofErr w:type="gramStart"/>
      <w:r>
        <w:rPr>
          <w:rFonts w:ascii="Times New Roman" w:eastAsia="楷体_GB2312" w:hAnsi="Times New Roman"/>
          <w:sz w:val="24"/>
          <w:szCs w:val="24"/>
        </w:rPr>
        <w:t>没有勾选的</w:t>
      </w:r>
      <w:proofErr w:type="gramEnd"/>
      <w:r>
        <w:rPr>
          <w:rFonts w:ascii="Times New Roman" w:eastAsia="楷体_GB2312" w:hAnsi="Times New Roman"/>
          <w:sz w:val="24"/>
          <w:szCs w:val="24"/>
        </w:rPr>
        <w:t>，视为本集中不涉及该类型交易。</w:t>
      </w:r>
    </w:p>
    <w:p w:rsidR="00D8615A" w:rsidRDefault="009B729B" w:rsidP="00D8615A">
      <w:pPr>
        <w:spacing w:line="360" w:lineRule="auto"/>
        <w:ind w:firstLineChars="200" w:firstLine="480"/>
        <w:rPr>
          <w:rFonts w:ascii="Times New Roman" w:hAnsi="Times New Roman"/>
        </w:rPr>
      </w:pPr>
      <w:r>
        <w:rPr>
          <w:rFonts w:ascii="Times New Roman" w:eastAsia="楷体_GB2312" w:hAnsi="Times New Roman"/>
          <w:sz w:val="24"/>
          <w:szCs w:val="24"/>
        </w:rPr>
        <w:t>2</w:t>
      </w:r>
      <w:r>
        <w:rPr>
          <w:rFonts w:ascii="Times New Roman" w:eastAsia="楷体_GB2312" w:hAnsi="Times New Roman"/>
          <w:sz w:val="24"/>
          <w:szCs w:val="24"/>
        </w:rPr>
        <w:t>、申报方申请简易案件的理由是基于第</w:t>
      </w:r>
      <w:r>
        <w:rPr>
          <w:rFonts w:ascii="Times New Roman" w:eastAsia="楷体_GB2312" w:hAnsi="Times New Roman"/>
          <w:sz w:val="24"/>
          <w:szCs w:val="24"/>
        </w:rPr>
        <w:t>4</w:t>
      </w:r>
      <w:r>
        <w:rPr>
          <w:rFonts w:ascii="Times New Roman" w:eastAsia="楷体_GB2312" w:hAnsi="Times New Roman"/>
          <w:sz w:val="24"/>
          <w:szCs w:val="24"/>
        </w:rPr>
        <w:t>项、第</w:t>
      </w:r>
      <w:r>
        <w:rPr>
          <w:rFonts w:ascii="Times New Roman" w:eastAsia="楷体_GB2312" w:hAnsi="Times New Roman"/>
          <w:sz w:val="24"/>
          <w:szCs w:val="24"/>
        </w:rPr>
        <w:t>5</w:t>
      </w:r>
      <w:r>
        <w:rPr>
          <w:rFonts w:ascii="Times New Roman" w:eastAsia="楷体_GB2312" w:hAnsi="Times New Roman"/>
          <w:sz w:val="24"/>
          <w:szCs w:val="24"/>
        </w:rPr>
        <w:t>项时，无须在备注中说明相关市场和市场份额。</w:t>
      </w:r>
      <w:r>
        <w:rPr>
          <w:rFonts w:ascii="Times New Roman" w:eastAsia="楷体_GB2312" w:hAnsi="Times New Roman"/>
          <w:sz w:val="24"/>
          <w:szCs w:val="24"/>
        </w:rPr>
        <w:br/>
        <w:t xml:space="preserve">    3</w:t>
      </w:r>
      <w:r>
        <w:rPr>
          <w:rFonts w:ascii="Times New Roman" w:eastAsia="楷体_GB2312" w:hAnsi="Times New Roman"/>
          <w:sz w:val="24"/>
          <w:szCs w:val="24"/>
        </w:rPr>
        <w:t>、由两个或两个以上经营者共同控制的合营企业，通过集中被其中的一个经营者控制，如果该经营者与合营企业属于同一相关市场的竞争者，则申报方在申请简易案件时，须</w:t>
      </w:r>
      <w:proofErr w:type="gramStart"/>
      <w:r>
        <w:rPr>
          <w:rFonts w:ascii="Times New Roman" w:eastAsia="楷体_GB2312" w:hAnsi="Times New Roman"/>
          <w:sz w:val="24"/>
          <w:szCs w:val="24"/>
        </w:rPr>
        <w:t>同时勾选第</w:t>
      </w:r>
      <w:r>
        <w:rPr>
          <w:rFonts w:ascii="Times New Roman" w:eastAsia="楷体_GB2312" w:hAnsi="Times New Roman"/>
          <w:sz w:val="24"/>
          <w:szCs w:val="24"/>
        </w:rPr>
        <w:t>1</w:t>
      </w:r>
      <w:r>
        <w:rPr>
          <w:rFonts w:ascii="Times New Roman" w:eastAsia="楷体_GB2312" w:hAnsi="Times New Roman"/>
          <w:sz w:val="24"/>
          <w:szCs w:val="24"/>
        </w:rPr>
        <w:t>项</w:t>
      </w:r>
      <w:proofErr w:type="gramEnd"/>
      <w:r>
        <w:rPr>
          <w:rFonts w:ascii="Times New Roman" w:eastAsia="楷体_GB2312" w:hAnsi="Times New Roman"/>
          <w:sz w:val="24"/>
          <w:szCs w:val="24"/>
        </w:rPr>
        <w:t>和第</w:t>
      </w:r>
      <w:r>
        <w:rPr>
          <w:rFonts w:ascii="Times New Roman" w:eastAsia="楷体_GB2312" w:hAnsi="Times New Roman"/>
          <w:sz w:val="24"/>
          <w:szCs w:val="24"/>
        </w:rPr>
        <w:t>6</w:t>
      </w:r>
      <w:r>
        <w:rPr>
          <w:rFonts w:ascii="Times New Roman" w:eastAsia="楷体_GB2312" w:hAnsi="Times New Roman"/>
          <w:sz w:val="24"/>
          <w:szCs w:val="24"/>
        </w:rPr>
        <w:t>项理由，并在备注中说明界定的相关商品市场和相关地域市场（无须阐述界定理由），以及相关市场份额。市场份额可以区间形式提供，区间幅度不应超过</w:t>
      </w:r>
      <w:r>
        <w:rPr>
          <w:rFonts w:ascii="Times New Roman" w:eastAsia="楷体_GB2312" w:hAnsi="Times New Roman"/>
          <w:sz w:val="24"/>
          <w:szCs w:val="24"/>
        </w:rPr>
        <w:t>5%</w:t>
      </w:r>
      <w:r>
        <w:rPr>
          <w:rFonts w:ascii="Times New Roman" w:eastAsia="楷体_GB2312" w:hAnsi="Times New Roman"/>
          <w:sz w:val="24"/>
          <w:szCs w:val="24"/>
        </w:rPr>
        <w:t>。</w:t>
      </w:r>
      <w:bookmarkStart w:id="0" w:name="_GoBack"/>
      <w:bookmarkEnd w:id="0"/>
    </w:p>
    <w:sectPr w:rsidR="00D8615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80439" w:rsidRDefault="00F80439" w:rsidP="00CD52BF">
      <w:r>
        <w:separator/>
      </w:r>
    </w:p>
  </w:endnote>
  <w:endnote w:type="continuationSeparator" w:id="0">
    <w:p w:rsidR="00F80439" w:rsidRDefault="00F80439" w:rsidP="00CD52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楷体_GB2312">
    <w:altName w:val="KaiTi_GB2312"/>
    <w:panose1 w:val="02010609030101010101"/>
    <w:charset w:val="86"/>
    <w:family w:val="modern"/>
    <w:pitch w:val="fixed"/>
    <w:sig w:usb0="00000001" w:usb1="080E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仿宋_GB2312">
    <w:altName w:val="仿宋"/>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80439" w:rsidRDefault="00F80439" w:rsidP="00CD52BF">
      <w:r>
        <w:separator/>
      </w:r>
    </w:p>
  </w:footnote>
  <w:footnote w:type="continuationSeparator" w:id="0">
    <w:p w:rsidR="00F80439" w:rsidRDefault="00F80439" w:rsidP="00CD52B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C47EE6"/>
    <w:multiLevelType w:val="hybridMultilevel"/>
    <w:tmpl w:val="6EB0D42C"/>
    <w:lvl w:ilvl="0" w:tplc="262273D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69A23F68"/>
    <w:multiLevelType w:val="hybridMultilevel"/>
    <w:tmpl w:val="75EAF49E"/>
    <w:lvl w:ilvl="0" w:tplc="1392064C">
      <w:start w:val="1"/>
      <w:numFmt w:val="decimal"/>
      <w:lvlText w:val="%1."/>
      <w:lvlJc w:val="left"/>
      <w:pPr>
        <w:ind w:left="420" w:hanging="420"/>
      </w:pPr>
    </w:lvl>
    <w:lvl w:ilvl="1" w:tplc="00680736" w:tentative="1">
      <w:start w:val="1"/>
      <w:numFmt w:val="lowerLetter"/>
      <w:lvlText w:val="%2)"/>
      <w:lvlJc w:val="left"/>
      <w:pPr>
        <w:ind w:left="840" w:hanging="420"/>
      </w:pPr>
    </w:lvl>
    <w:lvl w:ilvl="2" w:tplc="EA60F8B8" w:tentative="1">
      <w:start w:val="1"/>
      <w:numFmt w:val="lowerRoman"/>
      <w:lvlText w:val="%3."/>
      <w:lvlJc w:val="right"/>
      <w:pPr>
        <w:ind w:left="1260" w:hanging="420"/>
      </w:pPr>
    </w:lvl>
    <w:lvl w:ilvl="3" w:tplc="4D9817BA" w:tentative="1">
      <w:start w:val="1"/>
      <w:numFmt w:val="decimal"/>
      <w:lvlText w:val="%4."/>
      <w:lvlJc w:val="left"/>
      <w:pPr>
        <w:ind w:left="1680" w:hanging="420"/>
      </w:pPr>
    </w:lvl>
    <w:lvl w:ilvl="4" w:tplc="7F9C1398" w:tentative="1">
      <w:start w:val="1"/>
      <w:numFmt w:val="lowerLetter"/>
      <w:lvlText w:val="%5)"/>
      <w:lvlJc w:val="left"/>
      <w:pPr>
        <w:ind w:left="2100" w:hanging="420"/>
      </w:pPr>
    </w:lvl>
    <w:lvl w:ilvl="5" w:tplc="00447760" w:tentative="1">
      <w:start w:val="1"/>
      <w:numFmt w:val="lowerRoman"/>
      <w:lvlText w:val="%6."/>
      <w:lvlJc w:val="right"/>
      <w:pPr>
        <w:ind w:left="2520" w:hanging="420"/>
      </w:pPr>
    </w:lvl>
    <w:lvl w:ilvl="6" w:tplc="1F241E4E" w:tentative="1">
      <w:start w:val="1"/>
      <w:numFmt w:val="decimal"/>
      <w:lvlText w:val="%7."/>
      <w:lvlJc w:val="left"/>
      <w:pPr>
        <w:ind w:left="2940" w:hanging="420"/>
      </w:pPr>
    </w:lvl>
    <w:lvl w:ilvl="7" w:tplc="09DA60BA" w:tentative="1">
      <w:start w:val="1"/>
      <w:numFmt w:val="lowerLetter"/>
      <w:lvlText w:val="%8)"/>
      <w:lvlJc w:val="left"/>
      <w:pPr>
        <w:ind w:left="3360" w:hanging="420"/>
      </w:pPr>
    </w:lvl>
    <w:lvl w:ilvl="8" w:tplc="5F188D12" w:tentative="1">
      <w:start w:val="1"/>
      <w:numFmt w:val="lowerRoman"/>
      <w:lvlText w:val="%9."/>
      <w:lvlJc w:val="right"/>
      <w:pPr>
        <w:ind w:left="3780" w:hanging="420"/>
      </w:pPr>
    </w:lvl>
  </w:abstractNum>
  <w:abstractNum w:abstractNumId="2">
    <w:nsid w:val="74F827D2"/>
    <w:multiLevelType w:val="multilevel"/>
    <w:tmpl w:val="1B12C35E"/>
    <w:lvl w:ilvl="0">
      <w:start w:val="1"/>
      <w:numFmt w:val="bullet"/>
      <w:lvlText w:val="-"/>
      <w:lvlJc w:val="left"/>
      <w:pPr>
        <w:ind w:left="420" w:hanging="420"/>
      </w:pPr>
      <w:rPr>
        <w:rFonts w:ascii="楷体_GB2312" w:eastAsia="楷体_GB2312" w:hAnsi="Wingdings" w:hint="eastAsia"/>
        <w:color w:val="auto"/>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1024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615A"/>
    <w:rsid w:val="00043470"/>
    <w:rsid w:val="000D5EBC"/>
    <w:rsid w:val="000D7490"/>
    <w:rsid w:val="00153389"/>
    <w:rsid w:val="001F7A80"/>
    <w:rsid w:val="002D17BC"/>
    <w:rsid w:val="002E4315"/>
    <w:rsid w:val="002E68B2"/>
    <w:rsid w:val="00333088"/>
    <w:rsid w:val="0033730B"/>
    <w:rsid w:val="00340ABD"/>
    <w:rsid w:val="003B3D6A"/>
    <w:rsid w:val="003D7F39"/>
    <w:rsid w:val="00440C83"/>
    <w:rsid w:val="00440D04"/>
    <w:rsid w:val="0048119D"/>
    <w:rsid w:val="00503EA0"/>
    <w:rsid w:val="00585D99"/>
    <w:rsid w:val="005864A3"/>
    <w:rsid w:val="005A4E09"/>
    <w:rsid w:val="00641E6B"/>
    <w:rsid w:val="006B1077"/>
    <w:rsid w:val="006B3846"/>
    <w:rsid w:val="006C1302"/>
    <w:rsid w:val="00756E49"/>
    <w:rsid w:val="0079082F"/>
    <w:rsid w:val="00814825"/>
    <w:rsid w:val="00842D54"/>
    <w:rsid w:val="00846184"/>
    <w:rsid w:val="008B25B1"/>
    <w:rsid w:val="008B3874"/>
    <w:rsid w:val="008D092E"/>
    <w:rsid w:val="008E36B1"/>
    <w:rsid w:val="009343C8"/>
    <w:rsid w:val="00943197"/>
    <w:rsid w:val="00964D89"/>
    <w:rsid w:val="00967925"/>
    <w:rsid w:val="009801F4"/>
    <w:rsid w:val="00994948"/>
    <w:rsid w:val="009B4714"/>
    <w:rsid w:val="009B729B"/>
    <w:rsid w:val="009D2484"/>
    <w:rsid w:val="009F05A2"/>
    <w:rsid w:val="00A50AC4"/>
    <w:rsid w:val="00AC21F2"/>
    <w:rsid w:val="00AD0574"/>
    <w:rsid w:val="00B34370"/>
    <w:rsid w:val="00B4119C"/>
    <w:rsid w:val="00B76345"/>
    <w:rsid w:val="00C068E7"/>
    <w:rsid w:val="00C75BE6"/>
    <w:rsid w:val="00CD52BF"/>
    <w:rsid w:val="00CE28CF"/>
    <w:rsid w:val="00D14185"/>
    <w:rsid w:val="00D3122F"/>
    <w:rsid w:val="00D3378B"/>
    <w:rsid w:val="00D81A99"/>
    <w:rsid w:val="00D8615A"/>
    <w:rsid w:val="00DB71C9"/>
    <w:rsid w:val="00E3573C"/>
    <w:rsid w:val="00E60231"/>
    <w:rsid w:val="00F0776B"/>
    <w:rsid w:val="00F20A15"/>
    <w:rsid w:val="00F75BE1"/>
    <w:rsid w:val="00F80439"/>
    <w:rsid w:val="00F85932"/>
    <w:rsid w:val="00F95970"/>
    <w:rsid w:val="00FC50F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szCs w:val="22"/>
    </w:rPr>
  </w:style>
  <w:style w:type="paragraph" w:styleId="1">
    <w:name w:val="heading 1"/>
    <w:basedOn w:val="a"/>
    <w:next w:val="a"/>
    <w:link w:val="1Char"/>
    <w:uiPriority w:val="9"/>
    <w:qFormat/>
    <w:pPr>
      <w:keepNext/>
      <w:spacing w:before="240" w:after="60"/>
      <w:outlineLvl w:val="0"/>
    </w:pPr>
    <w:rPr>
      <w:rFonts w:ascii="Cambria" w:hAnsi="Cambria"/>
      <w:b/>
      <w:bCs/>
      <w:kern w:val="32"/>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endnote text"/>
    <w:basedOn w:val="a"/>
    <w:link w:val="Char"/>
    <w:uiPriority w:val="99"/>
    <w:semiHidden/>
    <w:unhideWhenUsed/>
    <w:pPr>
      <w:snapToGrid w:val="0"/>
      <w:jc w:val="left"/>
    </w:pPr>
  </w:style>
  <w:style w:type="character" w:customStyle="1" w:styleId="Char">
    <w:name w:val="尾注文本 Char"/>
    <w:basedOn w:val="a0"/>
    <w:link w:val="a4"/>
    <w:uiPriority w:val="99"/>
    <w:semiHidden/>
  </w:style>
  <w:style w:type="character" w:styleId="a5">
    <w:name w:val="endnote reference"/>
    <w:uiPriority w:val="99"/>
    <w:semiHidden/>
    <w:unhideWhenUsed/>
    <w:rPr>
      <w:vertAlign w:val="superscript"/>
    </w:rPr>
  </w:style>
  <w:style w:type="paragraph" w:styleId="a6">
    <w:name w:val="header"/>
    <w:basedOn w:val="a"/>
    <w:link w:val="Char0"/>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0">
    <w:name w:val="页眉 Char"/>
    <w:link w:val="a6"/>
    <w:uiPriority w:val="99"/>
    <w:rPr>
      <w:sz w:val="18"/>
      <w:szCs w:val="18"/>
    </w:rPr>
  </w:style>
  <w:style w:type="paragraph" w:styleId="a7">
    <w:name w:val="footer"/>
    <w:basedOn w:val="a"/>
    <w:link w:val="Char1"/>
    <w:uiPriority w:val="99"/>
    <w:unhideWhenUsed/>
    <w:pPr>
      <w:tabs>
        <w:tab w:val="center" w:pos="4153"/>
        <w:tab w:val="right" w:pos="8306"/>
      </w:tabs>
      <w:snapToGrid w:val="0"/>
      <w:jc w:val="left"/>
    </w:pPr>
    <w:rPr>
      <w:sz w:val="18"/>
      <w:szCs w:val="18"/>
    </w:rPr>
  </w:style>
  <w:style w:type="character" w:customStyle="1" w:styleId="Char1">
    <w:name w:val="页脚 Char"/>
    <w:link w:val="a7"/>
    <w:uiPriority w:val="99"/>
    <w:rPr>
      <w:sz w:val="18"/>
      <w:szCs w:val="18"/>
    </w:rPr>
  </w:style>
  <w:style w:type="character" w:customStyle="1" w:styleId="1Char">
    <w:name w:val="标题 1 Char"/>
    <w:link w:val="1"/>
    <w:uiPriority w:val="9"/>
    <w:rPr>
      <w:rFonts w:ascii="Cambria" w:eastAsia="宋体" w:hAnsi="Cambria" w:cs="Times New Roman"/>
      <w:b/>
      <w:bCs/>
      <w:kern w:val="32"/>
      <w:sz w:val="32"/>
      <w:szCs w:val="32"/>
    </w:rPr>
  </w:style>
  <w:style w:type="paragraph" w:styleId="a8">
    <w:name w:val="Balloon Text"/>
    <w:basedOn w:val="a"/>
    <w:link w:val="Char2"/>
    <w:uiPriority w:val="99"/>
    <w:semiHidden/>
    <w:unhideWhenUsed/>
    <w:rPr>
      <w:sz w:val="18"/>
      <w:szCs w:val="18"/>
    </w:rPr>
  </w:style>
  <w:style w:type="character" w:customStyle="1" w:styleId="Char2">
    <w:name w:val="批注框文本 Char"/>
    <w:basedOn w:val="a0"/>
    <w:link w:val="a8"/>
    <w:uiPriority w:val="99"/>
    <w:semiHidden/>
    <w:rPr>
      <w:kern w:val="2"/>
      <w:sz w:val="18"/>
      <w:szCs w:val="18"/>
    </w:rPr>
  </w:style>
  <w:style w:type="paragraph" w:styleId="a9">
    <w:name w:val="Normal (Web)"/>
    <w:basedOn w:val="a"/>
    <w:uiPriority w:val="99"/>
    <w:unhideWhenUsed/>
    <w:pPr>
      <w:widowControl/>
      <w:spacing w:before="100" w:beforeAutospacing="1" w:after="100" w:afterAutospacing="1"/>
      <w:jc w:val="left"/>
    </w:pPr>
    <w:rPr>
      <w:rFonts w:ascii="Times New Roman" w:eastAsia="Times New Roman" w:hAnsi="Times New Roman"/>
      <w:kern w:val="0"/>
      <w:sz w:val="24"/>
      <w:szCs w:val="24"/>
    </w:rPr>
  </w:style>
  <w:style w:type="paragraph" w:styleId="aa">
    <w:name w:val="List Paragraph"/>
    <w:basedOn w:val="a"/>
    <w:uiPriority w:val="34"/>
    <w:qFormat/>
    <w:rsid w:val="006B1077"/>
    <w:pPr>
      <w:ind w:firstLineChars="200" w:firstLine="4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szCs w:val="22"/>
    </w:rPr>
  </w:style>
  <w:style w:type="paragraph" w:styleId="1">
    <w:name w:val="heading 1"/>
    <w:basedOn w:val="a"/>
    <w:next w:val="a"/>
    <w:link w:val="1Char"/>
    <w:uiPriority w:val="9"/>
    <w:qFormat/>
    <w:pPr>
      <w:keepNext/>
      <w:spacing w:before="240" w:after="60"/>
      <w:outlineLvl w:val="0"/>
    </w:pPr>
    <w:rPr>
      <w:rFonts w:ascii="Cambria" w:hAnsi="Cambria"/>
      <w:b/>
      <w:bCs/>
      <w:kern w:val="32"/>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endnote text"/>
    <w:basedOn w:val="a"/>
    <w:link w:val="Char"/>
    <w:uiPriority w:val="99"/>
    <w:semiHidden/>
    <w:unhideWhenUsed/>
    <w:pPr>
      <w:snapToGrid w:val="0"/>
      <w:jc w:val="left"/>
    </w:pPr>
  </w:style>
  <w:style w:type="character" w:customStyle="1" w:styleId="Char">
    <w:name w:val="尾注文本 Char"/>
    <w:basedOn w:val="a0"/>
    <w:link w:val="a4"/>
    <w:uiPriority w:val="99"/>
    <w:semiHidden/>
  </w:style>
  <w:style w:type="character" w:styleId="a5">
    <w:name w:val="endnote reference"/>
    <w:uiPriority w:val="99"/>
    <w:semiHidden/>
    <w:unhideWhenUsed/>
    <w:rPr>
      <w:vertAlign w:val="superscript"/>
    </w:rPr>
  </w:style>
  <w:style w:type="paragraph" w:styleId="a6">
    <w:name w:val="header"/>
    <w:basedOn w:val="a"/>
    <w:link w:val="Char0"/>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0">
    <w:name w:val="页眉 Char"/>
    <w:link w:val="a6"/>
    <w:uiPriority w:val="99"/>
    <w:rPr>
      <w:sz w:val="18"/>
      <w:szCs w:val="18"/>
    </w:rPr>
  </w:style>
  <w:style w:type="paragraph" w:styleId="a7">
    <w:name w:val="footer"/>
    <w:basedOn w:val="a"/>
    <w:link w:val="Char1"/>
    <w:uiPriority w:val="99"/>
    <w:unhideWhenUsed/>
    <w:pPr>
      <w:tabs>
        <w:tab w:val="center" w:pos="4153"/>
        <w:tab w:val="right" w:pos="8306"/>
      </w:tabs>
      <w:snapToGrid w:val="0"/>
      <w:jc w:val="left"/>
    </w:pPr>
    <w:rPr>
      <w:sz w:val="18"/>
      <w:szCs w:val="18"/>
    </w:rPr>
  </w:style>
  <w:style w:type="character" w:customStyle="1" w:styleId="Char1">
    <w:name w:val="页脚 Char"/>
    <w:link w:val="a7"/>
    <w:uiPriority w:val="99"/>
    <w:rPr>
      <w:sz w:val="18"/>
      <w:szCs w:val="18"/>
    </w:rPr>
  </w:style>
  <w:style w:type="character" w:customStyle="1" w:styleId="1Char">
    <w:name w:val="标题 1 Char"/>
    <w:link w:val="1"/>
    <w:uiPriority w:val="9"/>
    <w:rPr>
      <w:rFonts w:ascii="Cambria" w:eastAsia="宋体" w:hAnsi="Cambria" w:cs="Times New Roman"/>
      <w:b/>
      <w:bCs/>
      <w:kern w:val="32"/>
      <w:sz w:val="32"/>
      <w:szCs w:val="32"/>
    </w:rPr>
  </w:style>
  <w:style w:type="paragraph" w:styleId="a8">
    <w:name w:val="Balloon Text"/>
    <w:basedOn w:val="a"/>
    <w:link w:val="Char2"/>
    <w:uiPriority w:val="99"/>
    <w:semiHidden/>
    <w:unhideWhenUsed/>
    <w:rPr>
      <w:sz w:val="18"/>
      <w:szCs w:val="18"/>
    </w:rPr>
  </w:style>
  <w:style w:type="character" w:customStyle="1" w:styleId="Char2">
    <w:name w:val="批注框文本 Char"/>
    <w:basedOn w:val="a0"/>
    <w:link w:val="a8"/>
    <w:uiPriority w:val="99"/>
    <w:semiHidden/>
    <w:rPr>
      <w:kern w:val="2"/>
      <w:sz w:val="18"/>
      <w:szCs w:val="18"/>
    </w:rPr>
  </w:style>
  <w:style w:type="paragraph" w:styleId="a9">
    <w:name w:val="Normal (Web)"/>
    <w:basedOn w:val="a"/>
    <w:uiPriority w:val="99"/>
    <w:unhideWhenUsed/>
    <w:pPr>
      <w:widowControl/>
      <w:spacing w:before="100" w:beforeAutospacing="1" w:after="100" w:afterAutospacing="1"/>
      <w:jc w:val="left"/>
    </w:pPr>
    <w:rPr>
      <w:rFonts w:ascii="Times New Roman" w:eastAsia="Times New Roman" w:hAnsi="Times New Roman"/>
      <w:kern w:val="0"/>
      <w:sz w:val="24"/>
      <w:szCs w:val="24"/>
    </w:rPr>
  </w:style>
  <w:style w:type="paragraph" w:styleId="aa">
    <w:name w:val="List Paragraph"/>
    <w:basedOn w:val="a"/>
    <w:uiPriority w:val="34"/>
    <w:qFormat/>
    <w:rsid w:val="006B1077"/>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183</Words>
  <Characters>1047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_</vt:lpstr>
    </vt:vector>
  </TitlesOfParts>
  <LinksUpToDate>false</LinksUpToDate>
  <CharactersWithSpaces>1228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dc:title>
  <dc:creator/>
  <cp:lastModifiedBy/>
  <cp:revision>1</cp:revision>
  <dcterms:created xsi:type="dcterms:W3CDTF">2017-02-03T02:21:00Z</dcterms:created>
  <dcterms:modified xsi:type="dcterms:W3CDTF">2017-10-31T03:34:00Z</dcterms:modified>
</cp:coreProperties>
</file>