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080" w:rsidRPr="008E7B8C" w:rsidRDefault="00B65080" w:rsidP="009B1ED0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B65080" w:rsidRDefault="00B65080"/>
    <w:p w:rsidR="00B65080" w:rsidRDefault="00B65080"/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09"/>
        <w:gridCol w:w="993"/>
        <w:gridCol w:w="5956"/>
      </w:tblGrid>
      <w:tr w:rsidR="00B65080" w:rsidRPr="006F6C4E" w:rsidTr="006804BB">
        <w:tc>
          <w:tcPr>
            <w:tcW w:w="1809" w:type="dxa"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360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hint="eastAsia"/>
              </w:rPr>
              <w:t>株式会社大冢制药工场收购大冢制药印度有限公司股权案</w:t>
            </w:r>
          </w:p>
        </w:tc>
      </w:tr>
      <w:tr w:rsidR="00B65080" w:rsidRPr="006F6C4E" w:rsidTr="006804BB">
        <w:trPr>
          <w:trHeight w:val="993"/>
        </w:trPr>
        <w:tc>
          <w:tcPr>
            <w:tcW w:w="1809" w:type="dxa"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</w:t>
            </w:r>
            <w:r w:rsidRPr="006F6C4E">
              <w:rPr>
                <w:rFonts w:ascii="仿宋_GB2312" w:eastAsia="仿宋_GB2312" w:hAnsi="Times New Roman"/>
                <w:sz w:val="28"/>
                <w:szCs w:val="28"/>
              </w:rPr>
              <w:t>200</w:t>
            </w: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rPr>
                <w:rFonts w:ascii="Times New Roman" w:hAnsi="Times New Roman"/>
              </w:rPr>
            </w:pPr>
            <w:r w:rsidRPr="006F6C4E">
              <w:rPr>
                <w:rFonts w:hint="eastAsia"/>
              </w:rPr>
              <w:t>株式会社大冢制药工场</w:t>
            </w:r>
            <w:r w:rsidRPr="006F6C4E">
              <w:rPr>
                <w:rFonts w:ascii="Times New Roman" w:hAnsi="Times New Roman" w:hint="eastAsia"/>
              </w:rPr>
              <w:t>认购其印度的合营公司</w:t>
            </w:r>
            <w:r w:rsidRPr="006F6C4E">
              <w:rPr>
                <w:rFonts w:hint="eastAsia"/>
              </w:rPr>
              <w:t>大冢制药印度有限公司（“合营公司”）</w:t>
            </w:r>
            <w:r w:rsidRPr="006F6C4E">
              <w:rPr>
                <w:rFonts w:ascii="Times New Roman" w:hAnsi="Times New Roman" w:hint="eastAsia"/>
              </w:rPr>
              <w:t>的股东之一</w:t>
            </w:r>
            <w:r w:rsidRPr="006F6C4E">
              <w:rPr>
                <w:rFonts w:ascii="Times New Roman" w:hAnsi="Times New Roman"/>
              </w:rPr>
              <w:t>Claris</w:t>
            </w:r>
            <w:r w:rsidRPr="006F6C4E">
              <w:rPr>
                <w:rFonts w:ascii="Times New Roman" w:hAnsi="Times New Roman" w:hint="eastAsia"/>
              </w:rPr>
              <w:t>生命科学公司持有的大冢制药印度的</w:t>
            </w:r>
            <w:r w:rsidRPr="006F6C4E">
              <w:rPr>
                <w:rFonts w:ascii="Times New Roman" w:hAnsi="Times New Roman"/>
              </w:rPr>
              <w:t>20%</w:t>
            </w:r>
            <w:r w:rsidRPr="006F6C4E">
              <w:rPr>
                <w:rFonts w:ascii="Times New Roman" w:hAnsi="Times New Roman" w:hint="eastAsia"/>
              </w:rPr>
              <w:t>全部股权。本次交易前，大冢制药工场、三井物产、</w:t>
            </w:r>
            <w:r w:rsidRPr="006F6C4E">
              <w:rPr>
                <w:rFonts w:ascii="Times New Roman" w:hAnsi="Times New Roman"/>
              </w:rPr>
              <w:t>Claris</w:t>
            </w:r>
            <w:r w:rsidRPr="006F6C4E">
              <w:rPr>
                <w:rFonts w:ascii="Times New Roman" w:hAnsi="Times New Roman" w:hint="eastAsia"/>
              </w:rPr>
              <w:t>生命科学公司分别持有</w:t>
            </w:r>
            <w:r w:rsidRPr="006F6C4E">
              <w:rPr>
                <w:rFonts w:hint="eastAsia"/>
              </w:rPr>
              <w:t>合营公司</w:t>
            </w:r>
            <w:r w:rsidRPr="006F6C4E">
              <w:rPr>
                <w:rFonts w:ascii="Times New Roman" w:hAnsi="Times New Roman"/>
              </w:rPr>
              <w:t>60%</w:t>
            </w:r>
            <w:r w:rsidRPr="006F6C4E">
              <w:rPr>
                <w:rFonts w:ascii="Times New Roman" w:hAnsi="Times New Roman" w:hint="eastAsia"/>
              </w:rPr>
              <w:t>、</w:t>
            </w:r>
            <w:r w:rsidRPr="006F6C4E">
              <w:rPr>
                <w:rFonts w:ascii="Times New Roman" w:hAnsi="Times New Roman"/>
              </w:rPr>
              <w:t>20%</w:t>
            </w:r>
            <w:r w:rsidRPr="006F6C4E">
              <w:rPr>
                <w:rFonts w:ascii="Times New Roman" w:hAnsi="Times New Roman" w:hint="eastAsia"/>
              </w:rPr>
              <w:t>、</w:t>
            </w:r>
            <w:r w:rsidRPr="006F6C4E">
              <w:rPr>
                <w:rFonts w:ascii="Times New Roman" w:hAnsi="Times New Roman"/>
              </w:rPr>
              <w:t>20%</w:t>
            </w:r>
            <w:r w:rsidRPr="006F6C4E">
              <w:rPr>
                <w:rFonts w:ascii="Times New Roman" w:hAnsi="Times New Roman" w:hint="eastAsia"/>
              </w:rPr>
              <w:t>的股权。本次交易后，</w:t>
            </w:r>
            <w:r w:rsidRPr="006F6C4E">
              <w:rPr>
                <w:rFonts w:ascii="Times New Roman" w:hAnsi="Times New Roman"/>
              </w:rPr>
              <w:t>Claris</w:t>
            </w:r>
            <w:r w:rsidRPr="006F6C4E">
              <w:rPr>
                <w:rFonts w:ascii="Times New Roman" w:hAnsi="Times New Roman" w:hint="eastAsia"/>
              </w:rPr>
              <w:t>生命科学公司退出大冢制药印度，大冢制药工场和三井物产分别持有</w:t>
            </w:r>
            <w:r w:rsidRPr="006F6C4E">
              <w:rPr>
                <w:rFonts w:hint="eastAsia"/>
              </w:rPr>
              <w:t>合营公司</w:t>
            </w:r>
            <w:r w:rsidRPr="006F6C4E">
              <w:rPr>
                <w:rFonts w:ascii="Times New Roman" w:hAnsi="Times New Roman"/>
              </w:rPr>
              <w:t>80%</w:t>
            </w:r>
            <w:r w:rsidRPr="006F6C4E">
              <w:rPr>
                <w:rFonts w:ascii="Times New Roman" w:hAnsi="Times New Roman" w:hint="eastAsia"/>
              </w:rPr>
              <w:t>、</w:t>
            </w:r>
            <w:r w:rsidRPr="006F6C4E">
              <w:rPr>
                <w:rFonts w:ascii="Times New Roman" w:hAnsi="Times New Roman"/>
              </w:rPr>
              <w:t>20%</w:t>
            </w:r>
            <w:r w:rsidRPr="006F6C4E">
              <w:rPr>
                <w:rFonts w:ascii="Times New Roman" w:hAnsi="Times New Roman" w:hint="eastAsia"/>
              </w:rPr>
              <w:t>的股份。本次交易后，大冢制药工场及三井物产将对</w:t>
            </w:r>
            <w:r w:rsidRPr="006F6C4E">
              <w:rPr>
                <w:rFonts w:hint="eastAsia"/>
              </w:rPr>
              <w:t>合营公司</w:t>
            </w:r>
            <w:r w:rsidRPr="006F6C4E">
              <w:rPr>
                <w:rFonts w:ascii="Times New Roman" w:hAnsi="Times New Roman" w:hint="eastAsia"/>
              </w:rPr>
              <w:t>实施共同控制。</w:t>
            </w:r>
          </w:p>
        </w:tc>
      </w:tr>
      <w:tr w:rsidR="00B65080" w:rsidRPr="006F6C4E" w:rsidTr="006804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993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t>1</w:t>
            </w:r>
            <w:r w:rsidRPr="006F6C4E"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株式会社大冢制药工场</w:t>
            </w:r>
            <w:r w:rsidRPr="006F6C4E">
              <w:t xml:space="preserve">    </w:t>
            </w:r>
          </w:p>
        </w:tc>
      </w:tr>
      <w:tr w:rsidR="00B65080" w:rsidRPr="006F6C4E" w:rsidTr="006804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t>2</w:t>
            </w:r>
            <w:r w:rsidRPr="006F6C4E"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三井物产株式会社</w:t>
            </w:r>
          </w:p>
        </w:tc>
      </w:tr>
      <w:tr w:rsidR="00B65080" w:rsidRPr="006F6C4E" w:rsidTr="006804BB">
        <w:trPr>
          <w:trHeight w:val="504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t>3</w:t>
            </w:r>
            <w:r w:rsidRPr="006F6C4E"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大冢制药印度有限公司（“合营公司”）</w:t>
            </w:r>
          </w:p>
        </w:tc>
      </w:tr>
      <w:tr w:rsidR="00B65080" w:rsidRPr="006F6C4E" w:rsidTr="006804B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□</w:t>
            </w:r>
            <w:r w:rsidRPr="006F6C4E">
              <w:t>1</w:t>
            </w:r>
            <w:r w:rsidRPr="006F6C4E">
              <w:rPr>
                <w:rFonts w:hint="eastAsia"/>
              </w:rPr>
              <w:t>、在同一相关市场，所有参与集中的经营者所占市场份额之和小于</w:t>
            </w:r>
            <w:r w:rsidRPr="006F6C4E">
              <w:t>15%</w:t>
            </w:r>
            <w:r w:rsidRPr="006F6C4E">
              <w:rPr>
                <w:rFonts w:hint="eastAsia"/>
              </w:rPr>
              <w:t>。</w:t>
            </w:r>
          </w:p>
        </w:tc>
      </w:tr>
      <w:tr w:rsidR="00B65080" w:rsidRPr="006F6C4E" w:rsidTr="006804B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□</w:t>
            </w:r>
            <w:r w:rsidRPr="006F6C4E">
              <w:t>2</w:t>
            </w:r>
            <w:r w:rsidRPr="006F6C4E">
              <w:rPr>
                <w:rFonts w:hint="eastAsia"/>
              </w:rPr>
              <w:t>、存在上下游关系的参与集中的经营者，在上下游市场所占的市场份额均小于</w:t>
            </w:r>
            <w:r w:rsidRPr="006F6C4E">
              <w:t>25%</w:t>
            </w:r>
            <w:r w:rsidRPr="006F6C4E">
              <w:rPr>
                <w:rFonts w:hint="eastAsia"/>
              </w:rPr>
              <w:t>。</w:t>
            </w:r>
          </w:p>
        </w:tc>
      </w:tr>
      <w:tr w:rsidR="00B65080" w:rsidRPr="006F6C4E" w:rsidTr="006804B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□</w:t>
            </w:r>
            <w:r w:rsidRPr="006F6C4E">
              <w:t>3</w:t>
            </w:r>
            <w:r w:rsidRPr="006F6C4E">
              <w:rPr>
                <w:rFonts w:hint="eastAsia"/>
              </w:rPr>
              <w:t>、不在同一相关市场、也不存在上下游关系的参与集中的经营者，在与交易有关的每个市场所占的份额均小于</w:t>
            </w:r>
            <w:r w:rsidRPr="006F6C4E">
              <w:t>25%</w:t>
            </w:r>
            <w:r w:rsidRPr="006F6C4E">
              <w:rPr>
                <w:rFonts w:hint="eastAsia"/>
              </w:rPr>
              <w:t>。</w:t>
            </w:r>
          </w:p>
        </w:tc>
      </w:tr>
      <w:tr w:rsidR="00B65080" w:rsidRPr="006F6C4E" w:rsidTr="006804B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rFonts w:hint="eastAsia"/>
              </w:rPr>
              <w:t>□</w:t>
            </w:r>
            <w:r w:rsidRPr="006F6C4E">
              <w:t>4</w:t>
            </w:r>
            <w:r w:rsidRPr="006F6C4E">
              <w:rPr>
                <w:rFonts w:hint="eastAsia"/>
              </w:rPr>
              <w:t>、参与集中的经营者在中国境外设立合营企业，合营企业不在中国境内从事经济活动。</w:t>
            </w:r>
          </w:p>
        </w:tc>
      </w:tr>
      <w:tr w:rsidR="00B65080" w:rsidRPr="006F6C4E" w:rsidTr="006804B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szCs w:val="20"/>
              </w:rPr>
              <w:sym w:font="Wingdings" w:char="F0FE"/>
            </w:r>
            <w:r w:rsidRPr="006F6C4E">
              <w:t>5</w:t>
            </w:r>
            <w:r w:rsidRPr="006F6C4E">
              <w:rPr>
                <w:rFonts w:hint="eastAsia"/>
              </w:rPr>
              <w:t>、参与集中的经营者收购境外企业股权或资产的，该境外企业不在中国境内从事经济活动。</w:t>
            </w:r>
          </w:p>
        </w:tc>
        <w:bookmarkStart w:id="0" w:name="_GoBack"/>
        <w:bookmarkEnd w:id="0"/>
      </w:tr>
      <w:tr w:rsidR="00B65080" w:rsidRPr="006F6C4E" w:rsidTr="006804B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B65080" w:rsidRPr="006F6C4E" w:rsidRDefault="00B65080" w:rsidP="006804BB">
            <w:pPr>
              <w:spacing w:line="500" w:lineRule="exact"/>
            </w:pPr>
            <w:r w:rsidRPr="006F6C4E">
              <w:rPr>
                <w:szCs w:val="20"/>
              </w:rPr>
              <w:sym w:font="Wingdings" w:char="F0FE"/>
            </w:r>
            <w:r w:rsidRPr="006F6C4E">
              <w:t>6</w:t>
            </w:r>
            <w:r w:rsidRPr="006F6C4E">
              <w:rPr>
                <w:rFonts w:hint="eastAsia"/>
              </w:rPr>
              <w:t>、由两个以上的经营者共同控制的合营企业，通过集中被其中一个或一个以上经营者控制。</w:t>
            </w:r>
          </w:p>
        </w:tc>
      </w:tr>
      <w:tr w:rsidR="00B65080" w:rsidRPr="006F6C4E" w:rsidTr="006804BB">
        <w:tc>
          <w:tcPr>
            <w:tcW w:w="1809" w:type="dxa"/>
            <w:shd w:val="clear" w:color="auto" w:fill="D9D9D9"/>
          </w:tcPr>
          <w:p w:rsidR="00B65080" w:rsidRPr="006F6C4E" w:rsidRDefault="00B65080" w:rsidP="006804B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F6C4E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B65080" w:rsidRPr="006F6C4E" w:rsidRDefault="00B65080" w:rsidP="006804BB"/>
        </w:tc>
      </w:tr>
    </w:tbl>
    <w:p w:rsidR="00B65080" w:rsidRDefault="00B65080"/>
    <w:sectPr w:rsidR="00B65080" w:rsidSect="008569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5080" w:rsidRDefault="00B65080" w:rsidP="009F4C9E">
      <w:r>
        <w:separator/>
      </w:r>
    </w:p>
  </w:endnote>
  <w:endnote w:type="continuationSeparator" w:id="0">
    <w:p w:rsidR="00B65080" w:rsidRDefault="00B65080" w:rsidP="009F4C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5080" w:rsidRDefault="00B65080" w:rsidP="009F4C9E">
      <w:r>
        <w:separator/>
      </w:r>
    </w:p>
  </w:footnote>
  <w:footnote w:type="continuationSeparator" w:id="0">
    <w:p w:rsidR="00B65080" w:rsidRDefault="00B65080" w:rsidP="009F4C9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792B"/>
    <w:rsid w:val="0015612E"/>
    <w:rsid w:val="00202C4C"/>
    <w:rsid w:val="006804BB"/>
    <w:rsid w:val="006F6C4E"/>
    <w:rsid w:val="00804420"/>
    <w:rsid w:val="008569F2"/>
    <w:rsid w:val="008E7B8C"/>
    <w:rsid w:val="009B1ED0"/>
    <w:rsid w:val="009F4C9E"/>
    <w:rsid w:val="00B65080"/>
    <w:rsid w:val="00BB5739"/>
    <w:rsid w:val="00DB5072"/>
    <w:rsid w:val="00E87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C9E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F4C9E"/>
    <w:pPr>
      <w:widowControl/>
      <w:tabs>
        <w:tab w:val="center" w:pos="4320"/>
        <w:tab w:val="right" w:pos="8640"/>
      </w:tabs>
      <w:jc w:val="left"/>
    </w:pPr>
    <w:rPr>
      <w:kern w:val="0"/>
      <w:sz w:val="22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F4C9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F4C9E"/>
    <w:pPr>
      <w:widowControl/>
      <w:tabs>
        <w:tab w:val="center" w:pos="4320"/>
        <w:tab w:val="right" w:pos="8640"/>
      </w:tabs>
      <w:jc w:val="left"/>
    </w:pPr>
    <w:rPr>
      <w:kern w:val="0"/>
      <w:sz w:val="22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F4C9E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</Pages>
  <Words>95</Words>
  <Characters>543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subject/>
  <dc:creator>Zhong Lun</dc:creator>
  <cp:keywords/>
  <dc:description/>
  <cp:lastModifiedBy>mofcom</cp:lastModifiedBy>
  <cp:revision>2</cp:revision>
  <dcterms:created xsi:type="dcterms:W3CDTF">2017-11-17T09:27:00Z</dcterms:created>
  <dcterms:modified xsi:type="dcterms:W3CDTF">2017-11-17T09:27:00Z</dcterms:modified>
</cp:coreProperties>
</file>