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06F" w:rsidRDefault="00A5306F" w:rsidP="00197BCC">
      <w:pPr>
        <w:jc w:val="center"/>
        <w:rPr>
          <w:rFonts w:ascii="黑体" w:eastAsia="黑体" w:hAnsi="黑体" w:cs="Times New Roman"/>
          <w:b/>
          <w:sz w:val="30"/>
          <w:szCs w:val="30"/>
        </w:rPr>
      </w:pPr>
      <w:bookmarkStart w:id="0" w:name="_GoBack"/>
      <w:bookmarkEnd w:id="0"/>
      <w:r w:rsidRPr="004B4B25">
        <w:rPr>
          <w:rFonts w:ascii="黑体" w:eastAsia="黑体" w:hAnsi="黑体" w:cs="Times New Roman"/>
          <w:b/>
          <w:sz w:val="30"/>
          <w:szCs w:val="30"/>
        </w:rPr>
        <w:t>经营者集中简易案件公示表</w:t>
      </w:r>
    </w:p>
    <w:p w:rsidR="004B4B25" w:rsidRPr="004B4B25" w:rsidRDefault="004B4B25" w:rsidP="00197BCC">
      <w:pPr>
        <w:jc w:val="center"/>
        <w:rPr>
          <w:rFonts w:ascii="黑体" w:eastAsia="黑体" w:hAnsi="黑体" w:cs="Times New Roman"/>
          <w:b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3A1271" w:rsidRPr="004B5C30" w:rsidTr="00C43F73">
        <w:trPr>
          <w:trHeight w:val="310"/>
        </w:trPr>
        <w:tc>
          <w:tcPr>
            <w:tcW w:w="1809" w:type="dxa"/>
            <w:shd w:val="clear" w:color="auto" w:fill="D9D9D9"/>
          </w:tcPr>
          <w:p w:rsidR="003A1271" w:rsidRPr="004B5C30" w:rsidRDefault="003A1271" w:rsidP="00A5306F">
            <w:pPr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3A1271" w:rsidRPr="004B5C30" w:rsidRDefault="00B02C29" w:rsidP="00A2726A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皮尔金顿意大利无限公司（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“</w:t>
            </w:r>
            <w:r w:rsidR="00A2726A"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皮尔金顿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”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）认购</w:t>
            </w:r>
            <w:r w:rsidR="00381F0C" w:rsidRPr="004B5C30">
              <w:rPr>
                <w:rFonts w:ascii="Times New Roman" w:eastAsia="仿宋" w:hAnsi="Times New Roman" w:cs="Times New Roman"/>
                <w:b/>
                <w:sz w:val="28"/>
                <w:szCs w:val="28"/>
                <w:lang w:val="en-US"/>
              </w:rPr>
              <w:t>天津耀皮玻璃有限公司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  <w:lang w:val="en-US"/>
              </w:rPr>
              <w:t>（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  <w:lang w:val="en-US"/>
              </w:rPr>
              <w:t>“</w:t>
            </w:r>
            <w:r w:rsidR="00A2726A" w:rsidRPr="004B5C30">
              <w:rPr>
                <w:rFonts w:ascii="Times New Roman" w:eastAsia="仿宋" w:hAnsi="Times New Roman" w:cs="Times New Roman"/>
                <w:b/>
                <w:sz w:val="28"/>
                <w:szCs w:val="28"/>
                <w:lang w:val="en-US"/>
              </w:rPr>
              <w:t>天津</w:t>
            </w:r>
            <w:r w:rsidR="00372E2B" w:rsidRPr="004B5C30">
              <w:rPr>
                <w:rFonts w:ascii="Times New Roman" w:eastAsia="仿宋" w:hAnsi="Times New Roman" w:cs="Times New Roman"/>
                <w:b/>
                <w:sz w:val="28"/>
                <w:szCs w:val="28"/>
                <w:lang w:val="en-US"/>
              </w:rPr>
              <w:t>耀皮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  <w:lang w:val="en-US"/>
              </w:rPr>
              <w:t>”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  <w:lang w:val="en-US"/>
              </w:rPr>
              <w:t>）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增资案</w:t>
            </w:r>
          </w:p>
        </w:tc>
      </w:tr>
      <w:tr w:rsidR="00A5306F" w:rsidRPr="004B5C30" w:rsidTr="00AA7A19">
        <w:trPr>
          <w:trHeight w:val="993"/>
        </w:trPr>
        <w:tc>
          <w:tcPr>
            <w:tcW w:w="1809" w:type="dxa"/>
            <w:shd w:val="clear" w:color="auto" w:fill="D9D9D9"/>
          </w:tcPr>
          <w:p w:rsidR="00A5306F" w:rsidRPr="004B5C30" w:rsidRDefault="00A5306F" w:rsidP="00A5306F">
            <w:pPr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交易概况（限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200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826312" w:rsidRPr="004B5C30" w:rsidRDefault="00381F0C" w:rsidP="00DC4AA3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  <w:lang w:val="en-GB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天津耀皮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拟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吸收合并</w:t>
            </w:r>
            <w:r w:rsidR="00A2726A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天津耀皮皮尔金顿玻璃有限公司（</w:t>
            </w:r>
            <w:r w:rsidR="004B5C30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“</w:t>
            </w:r>
            <w:r w:rsidR="004B5C30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耀皮皮尔金顿</w:t>
            </w:r>
            <w:r w:rsidR="004B5C30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”</w:t>
            </w:r>
            <w:r w:rsidR="00A2726A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）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，吸收合并完成后，</w:t>
            </w:r>
            <w:r w:rsidR="004B5C3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天津耀皮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存续，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耀皮皮尔金顿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解散并注销。目前，</w:t>
            </w:r>
            <w:r w:rsidR="004B5C30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天津耀皮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持有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耀皮皮尔金顿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57%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的股权，</w:t>
            </w:r>
            <w:r w:rsidR="004B5C30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皮尔金顿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持有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耀皮皮尔金顿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43%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的股权。</w:t>
            </w:r>
            <w:r w:rsidR="000216E4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同时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，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皮尔金顿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以其持有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耀皮皮尔金顿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的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经评估的净资产认购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天津耀皮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的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增资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，作为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天津耀皮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吸收合并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耀皮皮尔金顿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的对价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。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交易</w:t>
            </w:r>
            <w:r w:rsidR="000811A3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完成后，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皮尔金顿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成为</w:t>
            </w:r>
            <w:r w:rsidR="004B5C30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天津耀皮的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新股东，持有</w:t>
            </w:r>
            <w:r w:rsidR="00DC4AA3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天津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</w:t>
            </w:r>
            <w:r w:rsidR="009743B2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9.021%</w:t>
            </w:r>
            <w:r w:rsidR="00B02C2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的股权。</w:t>
            </w:r>
          </w:p>
        </w:tc>
      </w:tr>
      <w:tr w:rsidR="003A1271" w:rsidRPr="004B5C30" w:rsidTr="00040903">
        <w:trPr>
          <w:trHeight w:val="404"/>
        </w:trPr>
        <w:tc>
          <w:tcPr>
            <w:tcW w:w="1809" w:type="dxa"/>
            <w:vMerge w:val="restart"/>
            <w:shd w:val="clear" w:color="auto" w:fill="D9D9D9"/>
          </w:tcPr>
          <w:p w:rsidR="003A1271" w:rsidRPr="004B5C30" w:rsidRDefault="004B4B25" w:rsidP="004B4B25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3A1271" w:rsidRPr="004B5C30" w:rsidRDefault="001858D5" w:rsidP="009868CF">
            <w:pPr>
              <w:pStyle w:val="a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皮尔金顿意大利无限公司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（</w:t>
            </w:r>
            <w:r w:rsidR="00372E2B"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“</w:t>
            </w:r>
            <w:r w:rsidR="00372E2B"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皮尔金顿</w:t>
            </w:r>
            <w:r w:rsidR="00372E2B"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”</w:t>
            </w:r>
            <w:r w:rsidR="00372E2B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5153" w:type="dxa"/>
          </w:tcPr>
          <w:p w:rsidR="003A1271" w:rsidRPr="004B5C30" w:rsidRDefault="00737704" w:rsidP="00372E2B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皮尔金顿</w:t>
            </w:r>
            <w:r w:rsidR="00680AE7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设立</w:t>
            </w:r>
            <w:r w:rsidR="00D829F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于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1993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年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4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月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1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日，现持有英国公司注册处核发《注册证明书》，公司注册号为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438269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，注册地址位于英格兰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/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威尔士，公司的经营范围为控股公司</w:t>
            </w:r>
            <w:r w:rsidR="00897850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。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其实际控制人为日本板硝子株式会社有限公司，</w:t>
            </w:r>
            <w:r w:rsidR="00D829F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为东京证券交易所上市公司，股票代码为</w:t>
            </w:r>
            <w:r w:rsidR="00D829F9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5202</w:t>
            </w:r>
            <w:r w:rsidR="001858D5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。</w:t>
            </w:r>
          </w:p>
        </w:tc>
      </w:tr>
      <w:tr w:rsidR="00EE486C" w:rsidRPr="004B5C30" w:rsidTr="00C43F73">
        <w:trPr>
          <w:trHeight w:val="1434"/>
        </w:trPr>
        <w:tc>
          <w:tcPr>
            <w:tcW w:w="1809" w:type="dxa"/>
            <w:vMerge/>
            <w:shd w:val="clear" w:color="auto" w:fill="D9D9D9"/>
          </w:tcPr>
          <w:p w:rsidR="00EE486C" w:rsidRPr="004B5C30" w:rsidRDefault="00EE486C" w:rsidP="0089785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EE486C" w:rsidRPr="004B5C30" w:rsidRDefault="00EE486C" w:rsidP="00294414">
            <w:pPr>
              <w:pStyle w:val="a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天津市建筑材料集团（控股）有限公司（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“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天津建材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”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5153" w:type="dxa"/>
          </w:tcPr>
          <w:p w:rsidR="00EE486C" w:rsidRPr="004B5C30" w:rsidRDefault="00EE486C" w:rsidP="004B5C3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天津建材住所为天津市和平区贵州路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4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号，经营范围为：对市政府授权范围内的国有资产实施监督管理和资本经营；建筑材料、装饰材料生产、销售；举办境内对外经济技术展览；自有房屋租赁；市场开发服务；进出口业务（以上范围内国家有专营专项规定的按规定办理）。</w:t>
            </w:r>
          </w:p>
        </w:tc>
      </w:tr>
      <w:tr w:rsidR="00EE486C" w:rsidRPr="004B5C30" w:rsidTr="00C43F73">
        <w:trPr>
          <w:trHeight w:val="1434"/>
        </w:trPr>
        <w:tc>
          <w:tcPr>
            <w:tcW w:w="1809" w:type="dxa"/>
            <w:vMerge/>
            <w:shd w:val="clear" w:color="auto" w:fill="D9D9D9"/>
          </w:tcPr>
          <w:p w:rsidR="00EE486C" w:rsidRPr="004B5C30" w:rsidRDefault="00EE486C" w:rsidP="0089785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EE486C" w:rsidRPr="004B5C30" w:rsidRDefault="00EE486C" w:rsidP="009868CF">
            <w:pPr>
              <w:pStyle w:val="a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上海耀皮玻璃集团股份有限公司（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“</w:t>
            </w: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耀皮玻璃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”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5153" w:type="dxa"/>
          </w:tcPr>
          <w:p w:rsidR="00EE486C" w:rsidRPr="004B5C30" w:rsidRDefault="00EE486C" w:rsidP="004B5C3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耀皮玻璃住所为中国（上海）自由贸易试验区张东路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1388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号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4-5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幢，经营范围为：研发、生产各类浮法玻璃、压延玻璃、汽车玻璃、深加工玻璃以及其他特种玻璃系列产品，销售自产产品。上述同类商品以及原辅材料的批发、进出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lastRenderedPageBreak/>
              <w:t>口、佣金代理（拍卖除外），并提供相关技术咨询、技术服务等配套服务。</w:t>
            </w:r>
          </w:p>
        </w:tc>
      </w:tr>
      <w:tr w:rsidR="00EE486C" w:rsidRPr="004B5C30" w:rsidTr="00AA7A1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EE486C" w:rsidRPr="004B5C30" w:rsidRDefault="00EE486C" w:rsidP="00A5306F">
            <w:pPr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EE486C" w:rsidRPr="004B5C30" w:rsidRDefault="00EE486C" w:rsidP="00C43F73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Cs/>
                <w:sz w:val="28"/>
                <w:szCs w:val="28"/>
              </w:rPr>
              <w:sym w:font="Wingdings" w:char="F0FE"/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1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、在同一相关市场，所有参与集中的经营者所占市场份额之和小于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15%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。</w:t>
            </w:r>
          </w:p>
        </w:tc>
      </w:tr>
      <w:tr w:rsidR="00EE486C" w:rsidRPr="004B5C30" w:rsidTr="00AA7A1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EE486C" w:rsidRPr="004B5C30" w:rsidRDefault="00EE486C" w:rsidP="00A5306F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EE486C" w:rsidRPr="004B5C30" w:rsidRDefault="00EE486C" w:rsidP="00C43F73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Cs/>
                <w:sz w:val="28"/>
                <w:szCs w:val="28"/>
              </w:rPr>
              <w:sym w:font="Wingdings" w:char="F0A8"/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2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25%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。</w:t>
            </w:r>
          </w:p>
        </w:tc>
      </w:tr>
      <w:tr w:rsidR="00EE486C" w:rsidRPr="004B5C30" w:rsidTr="00AA7A1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EE486C" w:rsidRPr="004B5C30" w:rsidRDefault="00EE486C" w:rsidP="00A5306F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EE486C" w:rsidRPr="004B5C30" w:rsidRDefault="00EE486C" w:rsidP="00C43F73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Cs/>
                <w:sz w:val="28"/>
                <w:szCs w:val="28"/>
              </w:rPr>
              <w:sym w:font="Wingdings" w:char="F0A8"/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3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25%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。</w:t>
            </w:r>
          </w:p>
        </w:tc>
      </w:tr>
      <w:tr w:rsidR="00EE486C" w:rsidRPr="004B5C30" w:rsidTr="00B86A7A">
        <w:trPr>
          <w:trHeight w:val="532"/>
        </w:trPr>
        <w:tc>
          <w:tcPr>
            <w:tcW w:w="1809" w:type="dxa"/>
            <w:vMerge/>
            <w:shd w:val="clear" w:color="auto" w:fill="D9D9D9"/>
          </w:tcPr>
          <w:p w:rsidR="00EE486C" w:rsidRPr="004B5C30" w:rsidRDefault="00EE486C" w:rsidP="00A5306F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EE486C" w:rsidRPr="004B5C30" w:rsidRDefault="00EE486C" w:rsidP="00C43F73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Cs/>
                <w:sz w:val="28"/>
                <w:szCs w:val="28"/>
              </w:rPr>
              <w:sym w:font="Wingdings" w:char="F0A8"/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4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EE486C" w:rsidRPr="004B5C30" w:rsidTr="00AA7A1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EE486C" w:rsidRPr="004B5C30" w:rsidRDefault="00EE486C" w:rsidP="00A5306F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EE486C" w:rsidRPr="004B5C30" w:rsidRDefault="00EE486C" w:rsidP="00C43F73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Cs/>
                <w:sz w:val="28"/>
                <w:szCs w:val="28"/>
              </w:rPr>
              <w:sym w:font="Wingdings" w:char="F0A8"/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5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EE486C" w:rsidRPr="004B5C30" w:rsidTr="00AA7A1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EE486C" w:rsidRPr="004B5C30" w:rsidRDefault="00EE486C" w:rsidP="00A5306F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EE486C" w:rsidRPr="004B5C30" w:rsidRDefault="00EE486C" w:rsidP="00C43F73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Cs/>
                <w:sz w:val="28"/>
                <w:szCs w:val="28"/>
              </w:rPr>
              <w:sym w:font="Wingdings" w:char="F0A8"/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6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EE486C" w:rsidRPr="004B5C30" w:rsidTr="00AA7A19">
        <w:tc>
          <w:tcPr>
            <w:tcW w:w="1809" w:type="dxa"/>
            <w:shd w:val="clear" w:color="auto" w:fill="D9D9D9"/>
          </w:tcPr>
          <w:p w:rsidR="00EE486C" w:rsidRPr="004B5C30" w:rsidRDefault="00EE486C" w:rsidP="00A5306F">
            <w:pPr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b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EE486C" w:rsidRPr="004B5C30" w:rsidRDefault="00EE486C" w:rsidP="00CA7054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本交易涉及以下相关市场：</w:t>
            </w:r>
          </w:p>
          <w:p w:rsidR="00EE486C" w:rsidRPr="004B5C30" w:rsidRDefault="004B4B25" w:rsidP="00CA7054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（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1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）</w:t>
            </w:r>
            <w:r w:rsidR="00EE486C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产品市场：</w:t>
            </w:r>
            <w:r w:rsidR="000B5B34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正常厚度一等品及以上</w:t>
            </w:r>
            <w:r w:rsidR="00EE486C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浮法玻璃</w:t>
            </w:r>
          </w:p>
          <w:p w:rsidR="00EE486C" w:rsidRPr="004B5C30" w:rsidRDefault="00EE486C" w:rsidP="00CA7054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地域市场：中国</w:t>
            </w:r>
          </w:p>
          <w:p w:rsidR="00EE486C" w:rsidRPr="004B5C30" w:rsidRDefault="00EE486C" w:rsidP="00CA7054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合计市场份额：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[0-5]%</w:t>
            </w:r>
          </w:p>
          <w:p w:rsidR="004B4B25" w:rsidRPr="004B5C30" w:rsidRDefault="004B4B25" w:rsidP="00CA7054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  <w:p w:rsidR="004B4B25" w:rsidRPr="004B5C30" w:rsidRDefault="004B4B25" w:rsidP="004B4B25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（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2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）产品市场：</w:t>
            </w:r>
            <w:r w:rsidR="000B5B34"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正常厚度合格品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浮法玻璃</w:t>
            </w:r>
          </w:p>
          <w:p w:rsidR="004B4B25" w:rsidRPr="004B5C30" w:rsidRDefault="004B4B25" w:rsidP="004B4B25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地域市场：中国</w:t>
            </w:r>
          </w:p>
          <w:p w:rsidR="004B4B25" w:rsidRPr="004B5C30" w:rsidRDefault="004B4B25" w:rsidP="00CA7054">
            <w:pPr>
              <w:snapToGrid w:val="0"/>
              <w:spacing w:after="0" w:line="240" w:lineRule="auto"/>
              <w:jc w:val="both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合计市场份额：</w:t>
            </w:r>
            <w:r w:rsidRPr="004B5C30">
              <w:rPr>
                <w:rFonts w:ascii="Times New Roman" w:eastAsia="仿宋" w:hAnsi="Times New Roman" w:cs="Times New Roman"/>
                <w:sz w:val="28"/>
                <w:szCs w:val="28"/>
              </w:rPr>
              <w:t>[0-5]%</w:t>
            </w:r>
          </w:p>
        </w:tc>
      </w:tr>
    </w:tbl>
    <w:p w:rsidR="00DD6396" w:rsidRPr="000811A3" w:rsidRDefault="00DD6396" w:rsidP="00897850">
      <w:pPr>
        <w:rPr>
          <w:sz w:val="2"/>
          <w:szCs w:val="2"/>
        </w:rPr>
      </w:pPr>
    </w:p>
    <w:sectPr w:rsidR="00DD6396" w:rsidRPr="000811A3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83D" w:rsidRDefault="00BF483D" w:rsidP="00A5306F">
      <w:pPr>
        <w:spacing w:after="0" w:line="240" w:lineRule="auto"/>
      </w:pPr>
      <w:r>
        <w:separator/>
      </w:r>
    </w:p>
  </w:endnote>
  <w:endnote w:type="continuationSeparator" w:id="1">
    <w:p w:rsidR="00BF483D" w:rsidRDefault="00BF483D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83D" w:rsidRDefault="00BF483D" w:rsidP="00A5306F">
      <w:pPr>
        <w:spacing w:after="0" w:line="240" w:lineRule="auto"/>
      </w:pPr>
      <w:r>
        <w:separator/>
      </w:r>
    </w:p>
  </w:footnote>
  <w:footnote w:type="continuationSeparator" w:id="1">
    <w:p w:rsidR="00BF483D" w:rsidRDefault="00BF483D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11619"/>
    <w:multiLevelType w:val="hybridMultilevel"/>
    <w:tmpl w:val="3A54F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5B7FF3"/>
    <w:multiLevelType w:val="hybridMultilevel"/>
    <w:tmpl w:val="68923852"/>
    <w:lvl w:ilvl="0" w:tplc="FF3E74FC">
      <w:start w:val="1"/>
      <w:numFmt w:val="decimal"/>
      <w:lvlText w:val="%1."/>
      <w:lvlJc w:val="left"/>
      <w:pPr>
        <w:ind w:left="360" w:hanging="360"/>
      </w:pPr>
      <w:rPr>
        <w:rFonts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F3C3AF5"/>
    <w:multiLevelType w:val="hybridMultilevel"/>
    <w:tmpl w:val="2344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>
    <w:applyBreakingRules/>
    <w:useFELayout/>
  </w:compat>
  <w:rsids>
    <w:rsidRoot w:val="00A5306F"/>
    <w:rsid w:val="000216E4"/>
    <w:rsid w:val="00023982"/>
    <w:rsid w:val="0002711F"/>
    <w:rsid w:val="000418E3"/>
    <w:rsid w:val="00055AAA"/>
    <w:rsid w:val="00064C29"/>
    <w:rsid w:val="00066183"/>
    <w:rsid w:val="000661E9"/>
    <w:rsid w:val="00074058"/>
    <w:rsid w:val="000811A3"/>
    <w:rsid w:val="000839F2"/>
    <w:rsid w:val="000860A2"/>
    <w:rsid w:val="000860C5"/>
    <w:rsid w:val="0008695F"/>
    <w:rsid w:val="00087D6D"/>
    <w:rsid w:val="00091B54"/>
    <w:rsid w:val="00094152"/>
    <w:rsid w:val="000A36B1"/>
    <w:rsid w:val="000B5B34"/>
    <w:rsid w:val="000C18E5"/>
    <w:rsid w:val="000E2884"/>
    <w:rsid w:val="000F42BF"/>
    <w:rsid w:val="001029E1"/>
    <w:rsid w:val="00113737"/>
    <w:rsid w:val="00142266"/>
    <w:rsid w:val="00170258"/>
    <w:rsid w:val="0017078E"/>
    <w:rsid w:val="00175369"/>
    <w:rsid w:val="00182C34"/>
    <w:rsid w:val="001858D5"/>
    <w:rsid w:val="00191996"/>
    <w:rsid w:val="00197BCC"/>
    <w:rsid w:val="001B5A55"/>
    <w:rsid w:val="001D4D74"/>
    <w:rsid w:val="001F41B6"/>
    <w:rsid w:val="001F67B6"/>
    <w:rsid w:val="002056BF"/>
    <w:rsid w:val="00215368"/>
    <w:rsid w:val="002617F7"/>
    <w:rsid w:val="002677D8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305E6"/>
    <w:rsid w:val="00334FE7"/>
    <w:rsid w:val="00361C1D"/>
    <w:rsid w:val="00370FB1"/>
    <w:rsid w:val="0037245C"/>
    <w:rsid w:val="00372E2B"/>
    <w:rsid w:val="003746A2"/>
    <w:rsid w:val="00375C89"/>
    <w:rsid w:val="00381F0C"/>
    <w:rsid w:val="003931B3"/>
    <w:rsid w:val="003A1271"/>
    <w:rsid w:val="003A5D08"/>
    <w:rsid w:val="003B450D"/>
    <w:rsid w:val="00402E3E"/>
    <w:rsid w:val="004201A6"/>
    <w:rsid w:val="0044133C"/>
    <w:rsid w:val="004A40CA"/>
    <w:rsid w:val="004A445C"/>
    <w:rsid w:val="004B02CD"/>
    <w:rsid w:val="004B4B25"/>
    <w:rsid w:val="004B5C30"/>
    <w:rsid w:val="004C6D2E"/>
    <w:rsid w:val="004D2789"/>
    <w:rsid w:val="004E07A6"/>
    <w:rsid w:val="004E4B50"/>
    <w:rsid w:val="005152DE"/>
    <w:rsid w:val="00515307"/>
    <w:rsid w:val="005224B2"/>
    <w:rsid w:val="00532DF1"/>
    <w:rsid w:val="00533A3D"/>
    <w:rsid w:val="00553DD3"/>
    <w:rsid w:val="00563FFD"/>
    <w:rsid w:val="00570552"/>
    <w:rsid w:val="00582916"/>
    <w:rsid w:val="005B02C3"/>
    <w:rsid w:val="005B6265"/>
    <w:rsid w:val="005D392E"/>
    <w:rsid w:val="005D7E18"/>
    <w:rsid w:val="00612EA5"/>
    <w:rsid w:val="00653F80"/>
    <w:rsid w:val="006612AA"/>
    <w:rsid w:val="00680AE7"/>
    <w:rsid w:val="00680D37"/>
    <w:rsid w:val="0069400F"/>
    <w:rsid w:val="006B115A"/>
    <w:rsid w:val="006B3173"/>
    <w:rsid w:val="006C07EE"/>
    <w:rsid w:val="006C1C7B"/>
    <w:rsid w:val="006D6A1D"/>
    <w:rsid w:val="006E3550"/>
    <w:rsid w:val="006F0674"/>
    <w:rsid w:val="006F39D9"/>
    <w:rsid w:val="006F7CBA"/>
    <w:rsid w:val="007038BB"/>
    <w:rsid w:val="007063A5"/>
    <w:rsid w:val="00715C23"/>
    <w:rsid w:val="00720EC6"/>
    <w:rsid w:val="00721D2F"/>
    <w:rsid w:val="00737704"/>
    <w:rsid w:val="007663D6"/>
    <w:rsid w:val="0077295A"/>
    <w:rsid w:val="00774458"/>
    <w:rsid w:val="00783A49"/>
    <w:rsid w:val="00790EAB"/>
    <w:rsid w:val="007929BA"/>
    <w:rsid w:val="00792E51"/>
    <w:rsid w:val="007C3328"/>
    <w:rsid w:val="007D75F4"/>
    <w:rsid w:val="007F2764"/>
    <w:rsid w:val="00807CFE"/>
    <w:rsid w:val="00815CF8"/>
    <w:rsid w:val="0082508A"/>
    <w:rsid w:val="0082591A"/>
    <w:rsid w:val="00826312"/>
    <w:rsid w:val="00826506"/>
    <w:rsid w:val="00843D95"/>
    <w:rsid w:val="00895B87"/>
    <w:rsid w:val="00897850"/>
    <w:rsid w:val="008A73F7"/>
    <w:rsid w:val="008A764D"/>
    <w:rsid w:val="008D144E"/>
    <w:rsid w:val="008E494F"/>
    <w:rsid w:val="008F02DA"/>
    <w:rsid w:val="0091263F"/>
    <w:rsid w:val="00922AC2"/>
    <w:rsid w:val="009260DA"/>
    <w:rsid w:val="00930E2A"/>
    <w:rsid w:val="0093164E"/>
    <w:rsid w:val="00935670"/>
    <w:rsid w:val="00945C50"/>
    <w:rsid w:val="00950B17"/>
    <w:rsid w:val="00953C0F"/>
    <w:rsid w:val="00972A08"/>
    <w:rsid w:val="00972CA1"/>
    <w:rsid w:val="009743B2"/>
    <w:rsid w:val="00976A3C"/>
    <w:rsid w:val="00985456"/>
    <w:rsid w:val="009868CF"/>
    <w:rsid w:val="009870A6"/>
    <w:rsid w:val="009A66FD"/>
    <w:rsid w:val="009B4F19"/>
    <w:rsid w:val="009C31BB"/>
    <w:rsid w:val="009D55CA"/>
    <w:rsid w:val="009F4A60"/>
    <w:rsid w:val="00A0579E"/>
    <w:rsid w:val="00A23417"/>
    <w:rsid w:val="00A2726A"/>
    <w:rsid w:val="00A34ADE"/>
    <w:rsid w:val="00A34D83"/>
    <w:rsid w:val="00A47788"/>
    <w:rsid w:val="00A5306F"/>
    <w:rsid w:val="00A62EE7"/>
    <w:rsid w:val="00A67952"/>
    <w:rsid w:val="00A750B0"/>
    <w:rsid w:val="00A831FD"/>
    <w:rsid w:val="00A95C4A"/>
    <w:rsid w:val="00AA2F59"/>
    <w:rsid w:val="00AA7A19"/>
    <w:rsid w:val="00AB1EA5"/>
    <w:rsid w:val="00AD1C2B"/>
    <w:rsid w:val="00AD52B4"/>
    <w:rsid w:val="00AE0F9F"/>
    <w:rsid w:val="00AF0CA2"/>
    <w:rsid w:val="00AF3A86"/>
    <w:rsid w:val="00B02C29"/>
    <w:rsid w:val="00B06C1D"/>
    <w:rsid w:val="00B43252"/>
    <w:rsid w:val="00B731FC"/>
    <w:rsid w:val="00B83CD0"/>
    <w:rsid w:val="00B86A7A"/>
    <w:rsid w:val="00B9434A"/>
    <w:rsid w:val="00B974C8"/>
    <w:rsid w:val="00BA48AB"/>
    <w:rsid w:val="00BB7E5B"/>
    <w:rsid w:val="00BC0D10"/>
    <w:rsid w:val="00BD17F8"/>
    <w:rsid w:val="00BE466D"/>
    <w:rsid w:val="00BF016A"/>
    <w:rsid w:val="00BF2251"/>
    <w:rsid w:val="00BF483D"/>
    <w:rsid w:val="00BF5029"/>
    <w:rsid w:val="00C03537"/>
    <w:rsid w:val="00C064A8"/>
    <w:rsid w:val="00C43F73"/>
    <w:rsid w:val="00C549B1"/>
    <w:rsid w:val="00C567B9"/>
    <w:rsid w:val="00C66F53"/>
    <w:rsid w:val="00C73670"/>
    <w:rsid w:val="00C73E8C"/>
    <w:rsid w:val="00C87663"/>
    <w:rsid w:val="00CA51F9"/>
    <w:rsid w:val="00CA7054"/>
    <w:rsid w:val="00CD025F"/>
    <w:rsid w:val="00CD06A3"/>
    <w:rsid w:val="00CE1F9D"/>
    <w:rsid w:val="00CF0F7F"/>
    <w:rsid w:val="00D007B3"/>
    <w:rsid w:val="00D11851"/>
    <w:rsid w:val="00D24222"/>
    <w:rsid w:val="00D350D3"/>
    <w:rsid w:val="00D4315F"/>
    <w:rsid w:val="00D63B59"/>
    <w:rsid w:val="00D74CDD"/>
    <w:rsid w:val="00D829F9"/>
    <w:rsid w:val="00D850EB"/>
    <w:rsid w:val="00DA34F8"/>
    <w:rsid w:val="00DB482A"/>
    <w:rsid w:val="00DC3F9E"/>
    <w:rsid w:val="00DC4AA3"/>
    <w:rsid w:val="00DD6396"/>
    <w:rsid w:val="00E01704"/>
    <w:rsid w:val="00E079F8"/>
    <w:rsid w:val="00E21DA9"/>
    <w:rsid w:val="00E62EA6"/>
    <w:rsid w:val="00E64AA3"/>
    <w:rsid w:val="00E82954"/>
    <w:rsid w:val="00EA2762"/>
    <w:rsid w:val="00EA2905"/>
    <w:rsid w:val="00EB3068"/>
    <w:rsid w:val="00EC003A"/>
    <w:rsid w:val="00EE486C"/>
    <w:rsid w:val="00EE6EB7"/>
    <w:rsid w:val="00EE7E6F"/>
    <w:rsid w:val="00EF0A41"/>
    <w:rsid w:val="00EF2592"/>
    <w:rsid w:val="00F0519E"/>
    <w:rsid w:val="00F31B81"/>
    <w:rsid w:val="00F35C37"/>
    <w:rsid w:val="00F40275"/>
    <w:rsid w:val="00F45D26"/>
    <w:rsid w:val="00F8134E"/>
    <w:rsid w:val="00F8299C"/>
    <w:rsid w:val="00F93F1A"/>
    <w:rsid w:val="00FB7123"/>
    <w:rsid w:val="00FD1E22"/>
    <w:rsid w:val="00FD7E60"/>
    <w:rsid w:val="00FF5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uiPriority w:val="99"/>
    <w:rsid w:val="00AD52B4"/>
    <w:rPr>
      <w:color w:val="0000FF"/>
      <w:u w:val="single"/>
    </w:rPr>
  </w:style>
  <w:style w:type="paragraph" w:styleId="a9">
    <w:name w:val="Normal Indent"/>
    <w:basedOn w:val="a"/>
    <w:link w:val="Char2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Char2">
    <w:name w:val="正文缩进 Char"/>
    <w:link w:val="a9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a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b"/>
    <w:uiPriority w:val="99"/>
    <w:semiHidden/>
    <w:rsid w:val="00BF016A"/>
    <w:rPr>
      <w:rFonts w:ascii="Tahoma" w:hAnsi="Tahoma" w:cs="Tahoma"/>
      <w:sz w:val="16"/>
      <w:szCs w:val="16"/>
    </w:rPr>
  </w:style>
  <w:style w:type="character" w:styleId="ac">
    <w:name w:val="Emphasis"/>
    <w:basedOn w:val="a0"/>
    <w:uiPriority w:val="20"/>
    <w:qFormat/>
    <w:rsid w:val="003931B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Header Char"/>
    <w:basedOn w:val="a0"/>
    <w:link w:val="a3"/>
    <w:uiPriority w:val="99"/>
    <w:semiHidden/>
    <w:rsid w:val="00A5306F"/>
  </w:style>
  <w:style w:type="paragraph" w:styleId="a4">
    <w:name w:val="footer"/>
    <w:basedOn w:val="a"/>
    <w:link w:val="Char0"/>
    <w:uiPriority w:val="99"/>
    <w:semiHidden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Footer Char"/>
    <w:basedOn w:val="a0"/>
    <w:link w:val="a4"/>
    <w:uiPriority w:val="99"/>
    <w:semiHidden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uiPriority w:val="99"/>
    <w:rsid w:val="00AD52B4"/>
    <w:rPr>
      <w:color w:val="0000FF"/>
      <w:u w:val="single"/>
    </w:rPr>
  </w:style>
  <w:style w:type="paragraph" w:styleId="a9">
    <w:name w:val="Normal Indent"/>
    <w:basedOn w:val="a"/>
    <w:link w:val="Char2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Char2">
    <w:name w:val="Normal Indent Char"/>
    <w:link w:val="a9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a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Balloon Text Char"/>
    <w:basedOn w:val="a0"/>
    <w:link w:val="ab"/>
    <w:uiPriority w:val="99"/>
    <w:semiHidden/>
    <w:rsid w:val="00BF01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B3A69-B109-48F8-A151-63C3750BE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Company>Lenovo</Company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Duan</dc:creator>
  <cp:lastModifiedBy>Duan &amp; Duan</cp:lastModifiedBy>
  <cp:revision>3</cp:revision>
  <cp:lastPrinted>2017-03-21T02:56:00Z</cp:lastPrinted>
  <dcterms:created xsi:type="dcterms:W3CDTF">2017-11-27T07:42:00Z</dcterms:created>
  <dcterms:modified xsi:type="dcterms:W3CDTF">2017-11-27T08:06:00Z</dcterms:modified>
</cp:coreProperties>
</file>