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371D" w:rsidRPr="00202C4C" w:rsidRDefault="00BB371D" w:rsidP="00094095">
      <w:pPr>
        <w:spacing w:line="480" w:lineRule="exact"/>
        <w:rPr>
          <w:rFonts w:ascii="仿宋_GB2312" w:eastAsia="仿宋_GB2312" w:hAnsi="Times New Roman"/>
          <w:sz w:val="28"/>
          <w:szCs w:val="28"/>
        </w:rPr>
      </w:pPr>
      <w:r w:rsidRPr="00202C4C">
        <w:rPr>
          <w:rFonts w:ascii="仿宋_GB2312" w:eastAsia="仿宋_GB2312" w:hAnsi="Times New Roman" w:hint="eastAsia"/>
          <w:sz w:val="28"/>
          <w:szCs w:val="28"/>
        </w:rPr>
        <w:t>附件二、</w:t>
      </w:r>
    </w:p>
    <w:p w:rsidR="00BB371D" w:rsidRPr="008E7B8C" w:rsidRDefault="00BB371D" w:rsidP="0009409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BB371D" w:rsidRDefault="00BB371D" w:rsidP="00094095">
      <w:pPr>
        <w:spacing w:line="440" w:lineRule="exact"/>
        <w:rPr>
          <w:rFonts w:ascii="黑体" w:eastAsia="黑体" w:hAnsi="Times New Roman"/>
          <w:sz w:val="28"/>
          <w:szCs w:val="28"/>
        </w:rPr>
      </w:pPr>
    </w:p>
    <w:p w:rsidR="00BB371D" w:rsidRPr="00BA1596" w:rsidRDefault="00BB371D" w:rsidP="00094095">
      <w:pPr>
        <w:spacing w:line="440" w:lineRule="exact"/>
        <w:ind w:firstLineChars="302" w:firstLine="846"/>
        <w:rPr>
          <w:rFonts w:ascii="仿宋_GB2312" w:eastAsia="仿宋_GB2312" w:hAnsi="Times New Roman"/>
          <w:sz w:val="28"/>
          <w:szCs w:val="28"/>
        </w:rPr>
      </w:pPr>
      <w:r>
        <w:rPr>
          <w:rFonts w:ascii="黑体" w:eastAsia="黑体" w:hAnsi="Times New Roman"/>
          <w:sz w:val="28"/>
          <w:szCs w:val="28"/>
        </w:rPr>
        <w:t xml:space="preserve">                        </w:t>
      </w:r>
      <w:r w:rsidRPr="00BA1596">
        <w:rPr>
          <w:rFonts w:ascii="仿宋_GB2312" w:eastAsia="仿宋_GB2312" w:hAnsi="Times New Roman"/>
          <w:sz w:val="28"/>
          <w:szCs w:val="28"/>
        </w:rPr>
        <w:t xml:space="preserve"> </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09"/>
        <w:gridCol w:w="1796"/>
        <w:gridCol w:w="5153"/>
      </w:tblGrid>
      <w:tr w:rsidR="00BB371D" w:rsidRPr="00B553BB" w:rsidTr="00B553BB">
        <w:tc>
          <w:tcPr>
            <w:tcW w:w="1809" w:type="dxa"/>
            <w:shd w:val="clear" w:color="auto" w:fill="D9D9D9"/>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案件名称</w:t>
            </w:r>
          </w:p>
        </w:tc>
        <w:tc>
          <w:tcPr>
            <w:tcW w:w="6949" w:type="dxa"/>
            <w:gridSpan w:val="2"/>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宁波梅山保税港区锦程沙洲股权投资有限公司收购东北特殊钢集团有限责任公司股权案</w:t>
            </w:r>
          </w:p>
        </w:tc>
      </w:tr>
      <w:tr w:rsidR="00BB371D" w:rsidRPr="00B553BB" w:rsidTr="00B553BB">
        <w:trPr>
          <w:trHeight w:val="993"/>
        </w:trPr>
        <w:tc>
          <w:tcPr>
            <w:tcW w:w="1809" w:type="dxa"/>
            <w:shd w:val="clear" w:color="auto" w:fill="D9D9D9"/>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交易概况（限</w:t>
            </w:r>
            <w:r w:rsidRPr="00B553BB">
              <w:rPr>
                <w:rFonts w:ascii="仿宋_GB2312" w:eastAsia="仿宋_GB2312" w:hAnsi="Times New Roman"/>
                <w:sz w:val="28"/>
                <w:szCs w:val="28"/>
              </w:rPr>
              <w:t>200</w:t>
            </w:r>
            <w:r w:rsidRPr="00B553BB">
              <w:rPr>
                <w:rFonts w:ascii="仿宋_GB2312" w:eastAsia="仿宋_GB2312" w:hAnsi="Times New Roman" w:hint="eastAsia"/>
                <w:sz w:val="28"/>
                <w:szCs w:val="28"/>
              </w:rPr>
              <w:t>字内）</w:t>
            </w:r>
          </w:p>
        </w:tc>
        <w:tc>
          <w:tcPr>
            <w:tcW w:w="6949" w:type="dxa"/>
            <w:gridSpan w:val="2"/>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根据大连市中级人民法院的裁定及破产重整方案，东北特钢及下属两家子公司东北特钢集团大连特殊钢有限责任公司、东北特钢集团大连高合金棒线材有限责任公司实施合并重整，由锦程沙洲与本钢板材作为重整投资人投资金额合计人民币</w:t>
            </w:r>
            <w:r w:rsidRPr="00B553BB">
              <w:rPr>
                <w:rFonts w:ascii="仿宋_GB2312" w:eastAsia="仿宋_GB2312" w:hAnsi="Times New Roman"/>
                <w:sz w:val="28"/>
                <w:szCs w:val="28"/>
              </w:rPr>
              <w:t>55</w:t>
            </w:r>
            <w:r w:rsidRPr="00B553BB">
              <w:rPr>
                <w:rFonts w:ascii="仿宋_GB2312" w:eastAsia="仿宋_GB2312" w:hAnsi="Times New Roman" w:hint="eastAsia"/>
                <w:sz w:val="28"/>
                <w:szCs w:val="28"/>
              </w:rPr>
              <w:t>亿元收购东北特钢</w:t>
            </w:r>
            <w:r w:rsidRPr="00B553BB">
              <w:rPr>
                <w:rFonts w:ascii="仿宋_GB2312" w:eastAsia="仿宋_GB2312" w:hAnsi="Times New Roman"/>
                <w:sz w:val="28"/>
                <w:szCs w:val="28"/>
              </w:rPr>
              <w:t>53%</w:t>
            </w:r>
            <w:r w:rsidRPr="00B553BB">
              <w:rPr>
                <w:rFonts w:ascii="仿宋_GB2312" w:eastAsia="仿宋_GB2312" w:hAnsi="Times New Roman" w:hint="eastAsia"/>
                <w:sz w:val="28"/>
                <w:szCs w:val="28"/>
              </w:rPr>
              <w:t>的股权。其中，锦程沙洲投资</w:t>
            </w:r>
            <w:r w:rsidRPr="00B553BB">
              <w:rPr>
                <w:rFonts w:ascii="仿宋_GB2312" w:eastAsia="仿宋_GB2312" w:hAnsi="Times New Roman"/>
                <w:sz w:val="28"/>
                <w:szCs w:val="28"/>
              </w:rPr>
              <w:t>4,462,264,151</w:t>
            </w:r>
            <w:r w:rsidRPr="00B553BB">
              <w:rPr>
                <w:rFonts w:ascii="仿宋_GB2312" w:eastAsia="仿宋_GB2312" w:hAnsi="Times New Roman" w:hint="eastAsia"/>
                <w:sz w:val="28"/>
                <w:szCs w:val="28"/>
              </w:rPr>
              <w:t>元，持股比例为</w:t>
            </w:r>
            <w:r w:rsidRPr="00B553BB">
              <w:rPr>
                <w:rFonts w:ascii="仿宋_GB2312" w:eastAsia="仿宋_GB2312" w:hAnsi="Times New Roman"/>
                <w:sz w:val="28"/>
                <w:szCs w:val="28"/>
              </w:rPr>
              <w:t>43%</w:t>
            </w:r>
            <w:r w:rsidRPr="00B553BB">
              <w:rPr>
                <w:rFonts w:ascii="仿宋_GB2312" w:eastAsia="仿宋_GB2312" w:hAnsi="Times New Roman" w:hint="eastAsia"/>
                <w:sz w:val="28"/>
                <w:szCs w:val="28"/>
              </w:rPr>
              <w:t>；本钢板材投资</w:t>
            </w:r>
            <w:r w:rsidRPr="00B553BB">
              <w:rPr>
                <w:rFonts w:ascii="仿宋_GB2312" w:eastAsia="仿宋_GB2312" w:hAnsi="Times New Roman"/>
                <w:sz w:val="28"/>
                <w:szCs w:val="28"/>
              </w:rPr>
              <w:t>1,037,735,849</w:t>
            </w:r>
            <w:r w:rsidRPr="00B553BB">
              <w:rPr>
                <w:rFonts w:ascii="仿宋_GB2312" w:eastAsia="仿宋_GB2312" w:hAnsi="Times New Roman" w:hint="eastAsia"/>
                <w:sz w:val="28"/>
                <w:szCs w:val="28"/>
              </w:rPr>
              <w:t>元，持股比例为</w:t>
            </w:r>
            <w:r w:rsidRPr="00B553BB">
              <w:rPr>
                <w:rFonts w:ascii="仿宋_GB2312" w:eastAsia="仿宋_GB2312" w:hAnsi="Times New Roman"/>
                <w:sz w:val="28"/>
                <w:szCs w:val="28"/>
              </w:rPr>
              <w:t>10%</w:t>
            </w:r>
            <w:r w:rsidRPr="00B553BB">
              <w:rPr>
                <w:rFonts w:ascii="仿宋_GB2312" w:eastAsia="仿宋_GB2312" w:hAnsi="Times New Roman" w:hint="eastAsia"/>
                <w:sz w:val="28"/>
                <w:szCs w:val="28"/>
              </w:rPr>
              <w:t>。</w:t>
            </w:r>
          </w:p>
        </w:tc>
      </w:tr>
      <w:tr w:rsidR="00BB371D" w:rsidRPr="00B553BB" w:rsidTr="00B553BB">
        <w:trPr>
          <w:trHeight w:val="468"/>
        </w:trPr>
        <w:tc>
          <w:tcPr>
            <w:tcW w:w="1809" w:type="dxa"/>
            <w:vMerge w:val="restart"/>
            <w:shd w:val="clear" w:color="auto" w:fill="D9D9D9"/>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参与集中的经营者简介</w:t>
            </w:r>
          </w:p>
        </w:tc>
        <w:tc>
          <w:tcPr>
            <w:tcW w:w="1796" w:type="dxa"/>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sz w:val="28"/>
                <w:szCs w:val="28"/>
              </w:rPr>
              <w:t>1</w:t>
            </w:r>
            <w:r w:rsidRPr="00B553BB">
              <w:rPr>
                <w:rFonts w:ascii="仿宋_GB2312" w:eastAsia="仿宋_GB2312" w:hAnsi="Times New Roman" w:hint="eastAsia"/>
                <w:sz w:val="28"/>
                <w:szCs w:val="28"/>
              </w:rPr>
              <w:t>、宁波梅山保税港区锦程沙洲股权投资有限公司</w:t>
            </w:r>
          </w:p>
        </w:tc>
        <w:tc>
          <w:tcPr>
            <w:tcW w:w="5153" w:type="dxa"/>
          </w:tcPr>
          <w:p w:rsidR="00BB371D" w:rsidRPr="00B553BB" w:rsidRDefault="00BB371D" w:rsidP="00B553BB">
            <w:pPr>
              <w:tabs>
                <w:tab w:val="left" w:pos="1019"/>
              </w:tabs>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宁波梅山保税港区锦程沙洲股权投资有限公司为本次交易的收购方，设立于</w:t>
            </w:r>
            <w:r w:rsidRPr="00B553BB">
              <w:rPr>
                <w:rFonts w:ascii="仿宋_GB2312" w:eastAsia="仿宋_GB2312" w:hAnsi="Times New Roman"/>
                <w:sz w:val="28"/>
                <w:szCs w:val="28"/>
              </w:rPr>
              <w:t>2016</w:t>
            </w:r>
            <w:r w:rsidRPr="00B553BB">
              <w:rPr>
                <w:rFonts w:ascii="仿宋_GB2312" w:eastAsia="仿宋_GB2312" w:hAnsi="Times New Roman" w:hint="eastAsia"/>
                <w:sz w:val="28"/>
                <w:szCs w:val="28"/>
              </w:rPr>
              <w:t>年</w:t>
            </w:r>
            <w:r w:rsidRPr="00B553BB">
              <w:rPr>
                <w:rFonts w:ascii="仿宋_GB2312" w:eastAsia="仿宋_GB2312" w:hAnsi="Times New Roman"/>
                <w:sz w:val="28"/>
                <w:szCs w:val="28"/>
              </w:rPr>
              <w:t>4</w:t>
            </w:r>
            <w:r w:rsidRPr="00B553BB">
              <w:rPr>
                <w:rFonts w:ascii="仿宋_GB2312" w:eastAsia="仿宋_GB2312" w:hAnsi="Times New Roman" w:hint="eastAsia"/>
                <w:sz w:val="28"/>
                <w:szCs w:val="28"/>
              </w:rPr>
              <w:t>月</w:t>
            </w:r>
            <w:r w:rsidRPr="00B553BB">
              <w:rPr>
                <w:rFonts w:ascii="仿宋_GB2312" w:eastAsia="仿宋_GB2312" w:hAnsi="Times New Roman"/>
                <w:sz w:val="28"/>
                <w:szCs w:val="28"/>
              </w:rPr>
              <w:t>29</w:t>
            </w:r>
            <w:r w:rsidRPr="00B553BB">
              <w:rPr>
                <w:rFonts w:ascii="仿宋_GB2312" w:eastAsia="仿宋_GB2312" w:hAnsi="Times New Roman" w:hint="eastAsia"/>
                <w:sz w:val="28"/>
                <w:szCs w:val="28"/>
              </w:rPr>
              <w:t>日，注册资本为</w:t>
            </w:r>
            <w:r w:rsidRPr="00B553BB">
              <w:rPr>
                <w:rFonts w:ascii="仿宋_GB2312" w:eastAsia="仿宋_GB2312" w:hAnsi="Times New Roman"/>
                <w:sz w:val="28"/>
                <w:szCs w:val="28"/>
              </w:rPr>
              <w:t>3000</w:t>
            </w:r>
            <w:r w:rsidRPr="00B553BB">
              <w:rPr>
                <w:rFonts w:ascii="仿宋_GB2312" w:eastAsia="仿宋_GB2312" w:hAnsi="Times New Roman" w:hint="eastAsia"/>
                <w:sz w:val="28"/>
                <w:szCs w:val="28"/>
              </w:rPr>
              <w:t>万元人民币，住所为中国浙江省宁波市北仑区梅山盐场，经营范围为股权投资及相关咨询服务</w:t>
            </w:r>
            <w:r w:rsidRPr="00B553BB">
              <w:rPr>
                <w:rFonts w:ascii="仿宋_GB2312" w:eastAsia="仿宋_GB2312" w:hAnsi="Times New Roman"/>
                <w:sz w:val="28"/>
                <w:szCs w:val="28"/>
              </w:rPr>
              <w:t>;</w:t>
            </w:r>
            <w:r w:rsidRPr="00B553BB">
              <w:rPr>
                <w:rFonts w:ascii="仿宋_GB2312" w:eastAsia="仿宋_GB2312" w:hAnsi="Times New Roman" w:hint="eastAsia"/>
                <w:sz w:val="28"/>
                <w:szCs w:val="28"/>
              </w:rPr>
              <w:t>铁矿石、钢材、煤炭（无储存）、冶金原辅材料、冶金产品、化工产品（除危险化工品）、建材、焦炭（无储存）批发、零售。</w:t>
            </w:r>
          </w:p>
        </w:tc>
      </w:tr>
      <w:tr w:rsidR="00BB371D" w:rsidRPr="00B553BB" w:rsidTr="00B553BB">
        <w:trPr>
          <w:trHeight w:val="404"/>
        </w:trPr>
        <w:tc>
          <w:tcPr>
            <w:tcW w:w="1809" w:type="dxa"/>
            <w:vMerge/>
            <w:shd w:val="clear" w:color="auto" w:fill="D9D9D9"/>
          </w:tcPr>
          <w:p w:rsidR="00BB371D" w:rsidRPr="00B553BB" w:rsidRDefault="00BB371D" w:rsidP="00B553BB">
            <w:pPr>
              <w:spacing w:line="500" w:lineRule="exact"/>
              <w:rPr>
                <w:rFonts w:ascii="仿宋_GB2312" w:eastAsia="仿宋_GB2312" w:hAnsi="Times New Roman"/>
                <w:sz w:val="28"/>
                <w:szCs w:val="28"/>
              </w:rPr>
            </w:pPr>
          </w:p>
        </w:tc>
        <w:tc>
          <w:tcPr>
            <w:tcW w:w="1796" w:type="dxa"/>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sz w:val="28"/>
                <w:szCs w:val="28"/>
              </w:rPr>
              <w:t>2</w:t>
            </w:r>
            <w:r w:rsidRPr="00B553BB">
              <w:rPr>
                <w:rFonts w:ascii="仿宋_GB2312" w:eastAsia="仿宋_GB2312" w:hAnsi="Times New Roman" w:hint="eastAsia"/>
                <w:sz w:val="28"/>
                <w:szCs w:val="28"/>
              </w:rPr>
              <w:t>、东北特殊钢集团有限责任公司</w:t>
            </w:r>
          </w:p>
        </w:tc>
        <w:tc>
          <w:tcPr>
            <w:tcW w:w="5153" w:type="dxa"/>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东北特殊钢集团有限责任公司为本次交易的被收购方，最早设立于</w:t>
            </w:r>
            <w:r w:rsidRPr="00B553BB">
              <w:rPr>
                <w:rFonts w:ascii="仿宋_GB2312" w:eastAsia="仿宋_GB2312" w:hAnsi="Times New Roman"/>
                <w:sz w:val="28"/>
                <w:szCs w:val="28"/>
              </w:rPr>
              <w:t>1918</w:t>
            </w:r>
            <w:r w:rsidRPr="00B553BB">
              <w:rPr>
                <w:rFonts w:ascii="仿宋_GB2312" w:eastAsia="仿宋_GB2312" w:hAnsi="Times New Roman" w:hint="eastAsia"/>
                <w:sz w:val="28"/>
                <w:szCs w:val="28"/>
              </w:rPr>
              <w:t>年，于</w:t>
            </w:r>
            <w:r w:rsidRPr="00B553BB">
              <w:rPr>
                <w:rFonts w:ascii="仿宋_GB2312" w:eastAsia="仿宋_GB2312" w:hAnsi="Times New Roman"/>
                <w:sz w:val="28"/>
                <w:szCs w:val="28"/>
              </w:rPr>
              <w:t>1996</w:t>
            </w:r>
            <w:r w:rsidRPr="00B553BB">
              <w:rPr>
                <w:rFonts w:ascii="仿宋_GB2312" w:eastAsia="仿宋_GB2312" w:hAnsi="Times New Roman" w:hint="eastAsia"/>
                <w:sz w:val="28"/>
                <w:szCs w:val="28"/>
              </w:rPr>
              <w:t>年</w:t>
            </w:r>
            <w:r w:rsidRPr="00B553BB">
              <w:rPr>
                <w:rFonts w:ascii="仿宋_GB2312" w:eastAsia="仿宋_GB2312" w:hAnsi="Times New Roman"/>
                <w:sz w:val="28"/>
                <w:szCs w:val="28"/>
              </w:rPr>
              <w:t>5</w:t>
            </w:r>
            <w:r w:rsidRPr="00B553BB">
              <w:rPr>
                <w:rFonts w:ascii="仿宋_GB2312" w:eastAsia="仿宋_GB2312" w:hAnsi="Times New Roman" w:hint="eastAsia"/>
                <w:sz w:val="28"/>
                <w:szCs w:val="28"/>
              </w:rPr>
              <w:t>月</w:t>
            </w:r>
            <w:r w:rsidRPr="00B553BB">
              <w:rPr>
                <w:rFonts w:ascii="仿宋_GB2312" w:eastAsia="仿宋_GB2312" w:hAnsi="Times New Roman"/>
                <w:sz w:val="28"/>
                <w:szCs w:val="28"/>
              </w:rPr>
              <w:t>17</w:t>
            </w:r>
            <w:r w:rsidRPr="00B553BB">
              <w:rPr>
                <w:rFonts w:ascii="仿宋_GB2312" w:eastAsia="仿宋_GB2312" w:hAnsi="Times New Roman" w:hint="eastAsia"/>
                <w:sz w:val="28"/>
                <w:szCs w:val="28"/>
              </w:rPr>
              <w:t>日改制为国有控股的有限责任公司，注册资本为</w:t>
            </w:r>
            <w:r w:rsidRPr="00B553BB">
              <w:rPr>
                <w:rFonts w:ascii="仿宋_GB2312" w:eastAsia="仿宋_GB2312" w:hAnsi="Times New Roman"/>
                <w:sz w:val="28"/>
                <w:szCs w:val="28"/>
              </w:rPr>
              <w:t>364417</w:t>
            </w:r>
            <w:r w:rsidRPr="00B553BB">
              <w:rPr>
                <w:rFonts w:ascii="仿宋_GB2312" w:eastAsia="仿宋_GB2312" w:hAnsi="Times New Roman" w:hint="eastAsia"/>
                <w:sz w:val="28"/>
                <w:szCs w:val="28"/>
              </w:rPr>
              <w:t>万元人民币，住所为中国大连市金州区登沙河临港工业区河滨南路</w:t>
            </w:r>
            <w:r w:rsidRPr="00B553BB">
              <w:rPr>
                <w:rFonts w:ascii="仿宋_GB2312" w:eastAsia="仿宋_GB2312" w:hAnsi="Times New Roman"/>
                <w:sz w:val="28"/>
                <w:szCs w:val="28"/>
              </w:rPr>
              <w:t>18</w:t>
            </w:r>
            <w:r w:rsidRPr="00B553BB">
              <w:rPr>
                <w:rFonts w:ascii="仿宋_GB2312" w:eastAsia="仿宋_GB2312" w:hAnsi="Times New Roman" w:hint="eastAsia"/>
                <w:sz w:val="28"/>
                <w:szCs w:val="28"/>
              </w:rPr>
              <w:t>号，经营范围为钢铁冶炼；钢压延加工；汽车保养；汽车（轿车除外）销售；特殊钢产品、深加工产品及附加产品生产、销售；机械加工制造；机电设备设计、制造、安装、维修；来料加工；房屋、设备租赁；商标租赁；特殊钢冶金和压延加工技术咨询、技术培训、技术服务；货物及技术进出口；有线电视服务。</w:t>
            </w:r>
          </w:p>
        </w:tc>
      </w:tr>
      <w:tr w:rsidR="00BB371D" w:rsidRPr="00B553BB" w:rsidTr="00B553BB">
        <w:trPr>
          <w:trHeight w:val="404"/>
        </w:trPr>
        <w:tc>
          <w:tcPr>
            <w:tcW w:w="1809" w:type="dxa"/>
            <w:vMerge/>
            <w:shd w:val="clear" w:color="auto" w:fill="D9D9D9"/>
          </w:tcPr>
          <w:p w:rsidR="00BB371D" w:rsidRPr="00B553BB" w:rsidRDefault="00BB371D" w:rsidP="00B553BB">
            <w:pPr>
              <w:spacing w:line="500" w:lineRule="exact"/>
              <w:rPr>
                <w:rFonts w:ascii="仿宋_GB2312" w:eastAsia="仿宋_GB2312" w:hAnsi="Times New Roman"/>
                <w:sz w:val="28"/>
                <w:szCs w:val="28"/>
              </w:rPr>
            </w:pPr>
          </w:p>
        </w:tc>
        <w:tc>
          <w:tcPr>
            <w:tcW w:w="1796" w:type="dxa"/>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sz w:val="28"/>
                <w:szCs w:val="28"/>
              </w:rPr>
              <w:t>3</w:t>
            </w:r>
            <w:r w:rsidRPr="00B553BB">
              <w:rPr>
                <w:rFonts w:ascii="仿宋_GB2312" w:eastAsia="仿宋_GB2312" w:hAnsi="Times New Roman" w:hint="eastAsia"/>
                <w:sz w:val="28"/>
                <w:szCs w:val="28"/>
              </w:rPr>
              <w:t>、本钢板材股份有限公司</w:t>
            </w:r>
          </w:p>
        </w:tc>
        <w:tc>
          <w:tcPr>
            <w:tcW w:w="5153" w:type="dxa"/>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本钢板材股份有限公司为本次交易的参与方，设立于</w:t>
            </w:r>
            <w:r w:rsidRPr="00B553BB">
              <w:rPr>
                <w:rFonts w:ascii="仿宋_GB2312" w:eastAsia="仿宋_GB2312" w:hAnsi="Times New Roman"/>
                <w:sz w:val="28"/>
                <w:szCs w:val="28"/>
              </w:rPr>
              <w:t>1997</w:t>
            </w:r>
            <w:r w:rsidRPr="00B553BB">
              <w:rPr>
                <w:rFonts w:ascii="仿宋_GB2312" w:eastAsia="仿宋_GB2312" w:hAnsi="Times New Roman" w:hint="eastAsia"/>
                <w:sz w:val="28"/>
                <w:szCs w:val="28"/>
              </w:rPr>
              <w:t>年</w:t>
            </w:r>
            <w:r w:rsidRPr="00B553BB">
              <w:rPr>
                <w:rFonts w:ascii="仿宋_GB2312" w:eastAsia="仿宋_GB2312" w:hAnsi="Times New Roman"/>
                <w:sz w:val="28"/>
                <w:szCs w:val="28"/>
              </w:rPr>
              <w:t>6</w:t>
            </w:r>
            <w:r w:rsidRPr="00B553BB">
              <w:rPr>
                <w:rFonts w:ascii="仿宋_GB2312" w:eastAsia="仿宋_GB2312" w:hAnsi="Times New Roman" w:hint="eastAsia"/>
                <w:sz w:val="28"/>
                <w:szCs w:val="28"/>
              </w:rPr>
              <w:t>月</w:t>
            </w:r>
            <w:r w:rsidRPr="00B553BB">
              <w:rPr>
                <w:rFonts w:ascii="仿宋_GB2312" w:eastAsia="仿宋_GB2312" w:hAnsi="Times New Roman"/>
                <w:sz w:val="28"/>
                <w:szCs w:val="28"/>
              </w:rPr>
              <w:t>27</w:t>
            </w:r>
            <w:r w:rsidRPr="00B553BB">
              <w:rPr>
                <w:rFonts w:ascii="仿宋_GB2312" w:eastAsia="仿宋_GB2312" w:hAnsi="Times New Roman" w:hint="eastAsia"/>
                <w:sz w:val="28"/>
                <w:szCs w:val="28"/>
              </w:rPr>
              <w:t>日，注册资本为</w:t>
            </w:r>
            <w:r w:rsidRPr="00B553BB">
              <w:rPr>
                <w:rFonts w:ascii="仿宋_GB2312" w:eastAsia="仿宋_GB2312" w:hAnsi="Times New Roman"/>
                <w:sz w:val="28"/>
                <w:szCs w:val="28"/>
              </w:rPr>
              <w:t>313600</w:t>
            </w:r>
            <w:r w:rsidRPr="00B553BB">
              <w:rPr>
                <w:rFonts w:ascii="仿宋_GB2312" w:eastAsia="仿宋_GB2312" w:hAnsi="Times New Roman" w:hint="eastAsia"/>
                <w:sz w:val="28"/>
                <w:szCs w:val="28"/>
              </w:rPr>
              <w:t>万元人民币，住所为中国辽宁省本溪市平山区人民路</w:t>
            </w:r>
            <w:r w:rsidRPr="00B553BB">
              <w:rPr>
                <w:rFonts w:ascii="仿宋_GB2312" w:eastAsia="仿宋_GB2312" w:hAnsi="Times New Roman"/>
                <w:sz w:val="28"/>
                <w:szCs w:val="28"/>
              </w:rPr>
              <w:t>16</w:t>
            </w:r>
            <w:r w:rsidRPr="00B553BB">
              <w:rPr>
                <w:rFonts w:ascii="仿宋_GB2312" w:eastAsia="仿宋_GB2312" w:hAnsi="Times New Roman" w:hint="eastAsia"/>
                <w:sz w:val="28"/>
                <w:szCs w:val="28"/>
              </w:rPr>
              <w:t>号，经营范围为废旧金属（含有色金属）加工、购销，危险化学品生产，煤炭批发经营，炼铁炉料加工，废旧物资购销。钢铁冶炼、压延加工、产品销售，特钢型材、金属加工，货物及技术进出口（国家禁止的品种除外，限制的品种办理许可证后方可经营），计器仪表、机电设备、钢材销售，工业新产品、新工艺、新技术研究，高炉瓦斯灰及废油回收（危险品除外），化肥销售。</w:t>
            </w:r>
          </w:p>
        </w:tc>
      </w:tr>
      <w:tr w:rsidR="00BB371D" w:rsidRPr="00B553BB" w:rsidTr="00B553BB">
        <w:trPr>
          <w:trHeight w:val="279"/>
        </w:trPr>
        <w:tc>
          <w:tcPr>
            <w:tcW w:w="1809" w:type="dxa"/>
            <w:vMerge w:val="restart"/>
            <w:shd w:val="clear" w:color="auto" w:fill="D9D9D9"/>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简易案件理由</w:t>
            </w:r>
            <w:r w:rsidRPr="00B553BB">
              <w:rPr>
                <w:rStyle w:val="EndnoteReference"/>
                <w:rFonts w:ascii="仿宋_GB2312" w:eastAsia="仿宋_GB2312" w:hAnsi="Times New Roman"/>
                <w:sz w:val="28"/>
                <w:szCs w:val="28"/>
              </w:rPr>
              <w:endnoteReference w:id="1"/>
            </w:r>
            <w:r w:rsidRPr="00B553BB">
              <w:rPr>
                <w:rFonts w:ascii="仿宋_GB2312" w:eastAsia="仿宋_GB2312" w:hAnsi="Times New Roman" w:hint="eastAsia"/>
                <w:sz w:val="28"/>
                <w:szCs w:val="28"/>
              </w:rPr>
              <w:t>（可多选）</w:t>
            </w:r>
          </w:p>
        </w:tc>
        <w:tc>
          <w:tcPr>
            <w:tcW w:w="6949" w:type="dxa"/>
            <w:gridSpan w:val="2"/>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Wingdings" w:hint="eastAsia"/>
                <w:sz w:val="28"/>
                <w:szCs w:val="28"/>
              </w:rPr>
              <w:sym w:font="Wingdings" w:char="F0FE"/>
            </w:r>
            <w:r w:rsidRPr="00B553BB">
              <w:rPr>
                <w:rFonts w:ascii="仿宋_GB2312" w:eastAsia="仿宋_GB2312" w:hAnsi="Times New Roman"/>
                <w:sz w:val="28"/>
                <w:szCs w:val="28"/>
              </w:rPr>
              <w:t>1</w:t>
            </w:r>
            <w:r w:rsidRPr="00B553BB">
              <w:rPr>
                <w:rFonts w:ascii="仿宋_GB2312" w:eastAsia="仿宋_GB2312" w:hAnsi="Times New Roman" w:hint="eastAsia"/>
                <w:sz w:val="28"/>
                <w:szCs w:val="28"/>
              </w:rPr>
              <w:t>、在同一相关市场，所有参与集中的经营者所占市场份额之和小于</w:t>
            </w:r>
            <w:r w:rsidRPr="00B553BB">
              <w:rPr>
                <w:rFonts w:ascii="仿宋_GB2312" w:eastAsia="仿宋_GB2312" w:hAnsi="Times New Roman"/>
                <w:sz w:val="28"/>
                <w:szCs w:val="28"/>
              </w:rPr>
              <w:t>15%</w:t>
            </w:r>
            <w:r w:rsidRPr="00B553BB">
              <w:rPr>
                <w:rFonts w:ascii="仿宋_GB2312" w:eastAsia="仿宋_GB2312" w:hAnsi="Times New Roman" w:hint="eastAsia"/>
                <w:sz w:val="28"/>
                <w:szCs w:val="28"/>
              </w:rPr>
              <w:t>。</w:t>
            </w:r>
          </w:p>
        </w:tc>
      </w:tr>
      <w:tr w:rsidR="00BB371D" w:rsidRPr="00B553BB" w:rsidTr="00B553BB">
        <w:trPr>
          <w:trHeight w:val="330"/>
        </w:trPr>
        <w:tc>
          <w:tcPr>
            <w:tcW w:w="1809" w:type="dxa"/>
            <w:vMerge/>
            <w:shd w:val="clear" w:color="auto" w:fill="D9D9D9"/>
          </w:tcPr>
          <w:p w:rsidR="00BB371D" w:rsidRPr="00B553BB" w:rsidRDefault="00BB371D" w:rsidP="00B553BB">
            <w:pPr>
              <w:spacing w:line="500" w:lineRule="exact"/>
              <w:rPr>
                <w:rFonts w:ascii="仿宋_GB2312" w:eastAsia="仿宋_GB2312" w:hAnsi="Times New Roman"/>
                <w:sz w:val="28"/>
                <w:szCs w:val="28"/>
              </w:rPr>
            </w:pPr>
          </w:p>
        </w:tc>
        <w:tc>
          <w:tcPr>
            <w:tcW w:w="6949" w:type="dxa"/>
            <w:gridSpan w:val="2"/>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Wingdings" w:hint="eastAsia"/>
                <w:sz w:val="28"/>
                <w:szCs w:val="28"/>
              </w:rPr>
              <w:sym w:font="Wingdings" w:char="F0FE"/>
            </w:r>
            <w:r w:rsidRPr="00B553BB">
              <w:rPr>
                <w:rFonts w:ascii="仿宋_GB2312" w:eastAsia="仿宋_GB2312" w:hAnsi="Times New Roman"/>
                <w:sz w:val="28"/>
                <w:szCs w:val="28"/>
              </w:rPr>
              <w:t>2</w:t>
            </w:r>
            <w:r w:rsidRPr="00B553BB">
              <w:rPr>
                <w:rFonts w:ascii="仿宋_GB2312" w:eastAsia="仿宋_GB2312" w:hAnsi="Times New Roman" w:hint="eastAsia"/>
                <w:sz w:val="28"/>
                <w:szCs w:val="28"/>
              </w:rPr>
              <w:t>、存在上下游关系的参与集中的经营者，在上下游市场所占的市场份额均小于</w:t>
            </w:r>
            <w:r w:rsidRPr="00B553BB">
              <w:rPr>
                <w:rFonts w:ascii="仿宋_GB2312" w:eastAsia="仿宋_GB2312" w:hAnsi="Times New Roman"/>
                <w:sz w:val="28"/>
                <w:szCs w:val="28"/>
              </w:rPr>
              <w:t>25%</w:t>
            </w:r>
            <w:r w:rsidRPr="00B553BB">
              <w:rPr>
                <w:rFonts w:ascii="仿宋_GB2312" w:eastAsia="仿宋_GB2312" w:hAnsi="Times New Roman" w:hint="eastAsia"/>
                <w:sz w:val="28"/>
                <w:szCs w:val="28"/>
              </w:rPr>
              <w:t>。</w:t>
            </w:r>
          </w:p>
        </w:tc>
      </w:tr>
      <w:tr w:rsidR="00BB371D" w:rsidRPr="00B553BB" w:rsidTr="00B553BB">
        <w:trPr>
          <w:trHeight w:val="285"/>
        </w:trPr>
        <w:tc>
          <w:tcPr>
            <w:tcW w:w="1809" w:type="dxa"/>
            <w:vMerge/>
            <w:shd w:val="clear" w:color="auto" w:fill="D9D9D9"/>
          </w:tcPr>
          <w:p w:rsidR="00BB371D" w:rsidRPr="00B553BB" w:rsidRDefault="00BB371D" w:rsidP="00B553BB">
            <w:pPr>
              <w:spacing w:line="500" w:lineRule="exact"/>
              <w:rPr>
                <w:rFonts w:ascii="仿宋_GB2312" w:eastAsia="仿宋_GB2312" w:hAnsi="Times New Roman"/>
                <w:sz w:val="28"/>
                <w:szCs w:val="28"/>
              </w:rPr>
            </w:pPr>
          </w:p>
        </w:tc>
        <w:tc>
          <w:tcPr>
            <w:tcW w:w="6949" w:type="dxa"/>
            <w:gridSpan w:val="2"/>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Wingdings" w:hint="eastAsia"/>
                <w:sz w:val="28"/>
                <w:szCs w:val="28"/>
              </w:rPr>
              <w:sym w:font="Wingdings" w:char="F0FE"/>
            </w:r>
            <w:r w:rsidRPr="00B553BB">
              <w:rPr>
                <w:rFonts w:ascii="仿宋_GB2312" w:eastAsia="仿宋_GB2312" w:hAnsi="Times New Roman"/>
                <w:sz w:val="28"/>
                <w:szCs w:val="28"/>
              </w:rPr>
              <w:t>3</w:t>
            </w:r>
            <w:r w:rsidRPr="00B553BB">
              <w:rPr>
                <w:rFonts w:ascii="仿宋_GB2312" w:eastAsia="仿宋_GB2312" w:hAnsi="Times New Roman" w:hint="eastAsia"/>
                <w:sz w:val="28"/>
                <w:szCs w:val="28"/>
              </w:rPr>
              <w:t>、不在同一相关市场、也不存在上下游关系的参与集中的经营者，在与交易有关的每个市场所占的份额均小于</w:t>
            </w:r>
            <w:r w:rsidRPr="00B553BB">
              <w:rPr>
                <w:rFonts w:ascii="仿宋_GB2312" w:eastAsia="仿宋_GB2312" w:hAnsi="Times New Roman"/>
                <w:sz w:val="28"/>
                <w:szCs w:val="28"/>
              </w:rPr>
              <w:t>25%</w:t>
            </w:r>
            <w:r w:rsidRPr="00B553BB">
              <w:rPr>
                <w:rFonts w:ascii="仿宋_GB2312" w:eastAsia="仿宋_GB2312" w:hAnsi="Times New Roman" w:hint="eastAsia"/>
                <w:sz w:val="28"/>
                <w:szCs w:val="28"/>
              </w:rPr>
              <w:t>。</w:t>
            </w:r>
          </w:p>
        </w:tc>
      </w:tr>
      <w:tr w:rsidR="00BB371D" w:rsidRPr="00B553BB" w:rsidTr="00B553BB">
        <w:trPr>
          <w:trHeight w:val="870"/>
        </w:trPr>
        <w:tc>
          <w:tcPr>
            <w:tcW w:w="1809" w:type="dxa"/>
            <w:vMerge/>
            <w:shd w:val="clear" w:color="auto" w:fill="D9D9D9"/>
          </w:tcPr>
          <w:p w:rsidR="00BB371D" w:rsidRPr="00B553BB" w:rsidRDefault="00BB371D" w:rsidP="00B553BB">
            <w:pPr>
              <w:spacing w:line="500" w:lineRule="exact"/>
              <w:rPr>
                <w:rFonts w:ascii="仿宋_GB2312" w:eastAsia="仿宋_GB2312" w:hAnsi="Times New Roman"/>
                <w:sz w:val="28"/>
                <w:szCs w:val="28"/>
              </w:rPr>
            </w:pPr>
          </w:p>
        </w:tc>
        <w:tc>
          <w:tcPr>
            <w:tcW w:w="6949" w:type="dxa"/>
            <w:gridSpan w:val="2"/>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4</w:t>
            </w:r>
            <w:r w:rsidRPr="00B553BB">
              <w:rPr>
                <w:rFonts w:ascii="仿宋_GB2312" w:eastAsia="仿宋_GB2312" w:hAnsi="Times New Roman" w:hint="eastAsia"/>
                <w:sz w:val="28"/>
                <w:szCs w:val="28"/>
              </w:rPr>
              <w:t>、参与集中的经营者在中国境外设立合营企业，合营企业不在中国境内从事经济活动。</w:t>
            </w:r>
          </w:p>
        </w:tc>
      </w:tr>
      <w:tr w:rsidR="00BB371D" w:rsidRPr="00B553BB" w:rsidTr="00B553BB">
        <w:trPr>
          <w:trHeight w:val="264"/>
        </w:trPr>
        <w:tc>
          <w:tcPr>
            <w:tcW w:w="1809" w:type="dxa"/>
            <w:vMerge/>
            <w:shd w:val="clear" w:color="auto" w:fill="D9D9D9"/>
          </w:tcPr>
          <w:p w:rsidR="00BB371D" w:rsidRPr="00B553BB" w:rsidRDefault="00BB371D" w:rsidP="00B553BB">
            <w:pPr>
              <w:spacing w:line="500" w:lineRule="exact"/>
              <w:rPr>
                <w:rFonts w:ascii="仿宋_GB2312" w:eastAsia="仿宋_GB2312" w:hAnsi="Times New Roman"/>
                <w:sz w:val="28"/>
                <w:szCs w:val="28"/>
              </w:rPr>
            </w:pPr>
          </w:p>
        </w:tc>
        <w:tc>
          <w:tcPr>
            <w:tcW w:w="6949" w:type="dxa"/>
            <w:gridSpan w:val="2"/>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5</w:t>
            </w:r>
            <w:r w:rsidRPr="00B553BB">
              <w:rPr>
                <w:rFonts w:ascii="仿宋_GB2312" w:eastAsia="仿宋_GB2312" w:hAnsi="Times New Roman" w:hint="eastAsia"/>
                <w:sz w:val="28"/>
                <w:szCs w:val="28"/>
              </w:rPr>
              <w:t>、参与集中的经营者收购境外企业股权或资产的，该境外企业不在中国境内从事经济活动。</w:t>
            </w:r>
          </w:p>
        </w:tc>
      </w:tr>
      <w:tr w:rsidR="00BB371D" w:rsidRPr="00B553BB" w:rsidTr="00B553BB">
        <w:trPr>
          <w:trHeight w:val="345"/>
        </w:trPr>
        <w:tc>
          <w:tcPr>
            <w:tcW w:w="1809" w:type="dxa"/>
            <w:vMerge/>
            <w:shd w:val="clear" w:color="auto" w:fill="D9D9D9"/>
          </w:tcPr>
          <w:p w:rsidR="00BB371D" w:rsidRPr="00B553BB" w:rsidRDefault="00BB371D" w:rsidP="00B553BB">
            <w:pPr>
              <w:spacing w:line="500" w:lineRule="exact"/>
              <w:rPr>
                <w:rFonts w:ascii="仿宋_GB2312" w:eastAsia="仿宋_GB2312" w:hAnsi="Times New Roman"/>
                <w:sz w:val="28"/>
                <w:szCs w:val="28"/>
              </w:rPr>
            </w:pPr>
          </w:p>
        </w:tc>
        <w:tc>
          <w:tcPr>
            <w:tcW w:w="6949" w:type="dxa"/>
            <w:gridSpan w:val="2"/>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6</w:t>
            </w:r>
            <w:r w:rsidRPr="00B553BB">
              <w:rPr>
                <w:rFonts w:ascii="仿宋_GB2312" w:eastAsia="仿宋_GB2312" w:hAnsi="Times New Roman" w:hint="eastAsia"/>
                <w:sz w:val="28"/>
                <w:szCs w:val="28"/>
              </w:rPr>
              <w:t>、由两个以上的经营者共同控制的合营企业，通过集中被其中一个或一个以上经营者控制。</w:t>
            </w:r>
          </w:p>
        </w:tc>
      </w:tr>
      <w:tr w:rsidR="00BB371D" w:rsidRPr="00B553BB" w:rsidTr="00B553BB">
        <w:tc>
          <w:tcPr>
            <w:tcW w:w="1809" w:type="dxa"/>
            <w:shd w:val="clear" w:color="auto" w:fill="D9D9D9"/>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备注</w:t>
            </w:r>
          </w:p>
        </w:tc>
        <w:tc>
          <w:tcPr>
            <w:tcW w:w="6949" w:type="dxa"/>
            <w:gridSpan w:val="2"/>
          </w:tcPr>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sz w:val="28"/>
                <w:szCs w:val="28"/>
              </w:rPr>
              <w:t>1</w:t>
            </w:r>
            <w:r w:rsidRPr="00B553BB">
              <w:rPr>
                <w:rFonts w:ascii="仿宋_GB2312" w:eastAsia="仿宋_GB2312" w:hAnsi="Times New Roman" w:hint="eastAsia"/>
                <w:sz w:val="28"/>
                <w:szCs w:val="28"/>
              </w:rPr>
              <w:t>、横向市场：棒材市场</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1</w:t>
            </w:r>
            <w:r w:rsidRPr="00B553BB">
              <w:rPr>
                <w:rFonts w:ascii="仿宋_GB2312" w:eastAsia="仿宋_GB2312" w:hAnsi="Times New Roman" w:hint="eastAsia"/>
                <w:sz w:val="28"/>
                <w:szCs w:val="28"/>
              </w:rPr>
              <w:t>）东北特钢在中国的市场份额为</w:t>
            </w:r>
            <w:r w:rsidRPr="00B553BB">
              <w:rPr>
                <w:rFonts w:ascii="仿宋_GB2312" w:eastAsia="仿宋_GB2312" w:hAnsi="Times New Roman"/>
                <w:sz w:val="28"/>
                <w:szCs w:val="28"/>
              </w:rPr>
              <w:t>3.94%</w:t>
            </w:r>
            <w:r w:rsidRPr="00B553BB">
              <w:rPr>
                <w:rFonts w:ascii="仿宋_GB2312" w:eastAsia="仿宋_GB2312" w:hAnsi="Times New Roman" w:hint="eastAsia"/>
                <w:sz w:val="28"/>
                <w:szCs w:val="28"/>
              </w:rPr>
              <w:t>；</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2</w:t>
            </w:r>
            <w:r w:rsidRPr="00B553BB">
              <w:rPr>
                <w:rFonts w:ascii="仿宋_GB2312" w:eastAsia="仿宋_GB2312" w:hAnsi="Times New Roman" w:hint="eastAsia"/>
                <w:sz w:val="28"/>
                <w:szCs w:val="28"/>
              </w:rPr>
              <w:t>）沙钢集团在中国的市场份额为</w:t>
            </w:r>
            <w:r w:rsidRPr="00B553BB">
              <w:rPr>
                <w:rFonts w:ascii="仿宋_GB2312" w:eastAsia="仿宋_GB2312" w:hAnsi="Times New Roman"/>
                <w:sz w:val="28"/>
                <w:szCs w:val="28"/>
              </w:rPr>
              <w:t>8.66%</w:t>
            </w:r>
            <w:r w:rsidRPr="00B553BB">
              <w:rPr>
                <w:rFonts w:ascii="仿宋_GB2312" w:eastAsia="仿宋_GB2312" w:hAnsi="Times New Roman" w:hint="eastAsia"/>
                <w:sz w:val="28"/>
                <w:szCs w:val="28"/>
              </w:rPr>
              <w:t>。</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sz w:val="28"/>
                <w:szCs w:val="28"/>
              </w:rPr>
              <w:t>2</w:t>
            </w:r>
            <w:r w:rsidRPr="00B553BB">
              <w:rPr>
                <w:rFonts w:ascii="仿宋_GB2312" w:eastAsia="仿宋_GB2312" w:hAnsi="Times New Roman" w:hint="eastAsia"/>
                <w:sz w:val="28"/>
                <w:szCs w:val="28"/>
              </w:rPr>
              <w:t>、纵向市场：钢坯</w:t>
            </w:r>
            <w:r w:rsidRPr="00B553BB">
              <w:rPr>
                <w:rFonts w:ascii="仿宋_GB2312" w:eastAsia="仿宋_GB2312" w:hAnsi="Times New Roman"/>
                <w:sz w:val="28"/>
                <w:szCs w:val="28"/>
              </w:rPr>
              <w:t>-</w:t>
            </w:r>
            <w:r w:rsidRPr="00B553BB">
              <w:rPr>
                <w:rFonts w:ascii="仿宋_GB2312" w:eastAsia="仿宋_GB2312" w:hAnsi="Times New Roman" w:hint="eastAsia"/>
                <w:sz w:val="28"/>
                <w:szCs w:val="28"/>
              </w:rPr>
              <w:t>钢材生产市场</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1</w:t>
            </w:r>
            <w:r w:rsidRPr="00B553BB">
              <w:rPr>
                <w:rFonts w:ascii="仿宋_GB2312" w:eastAsia="仿宋_GB2312" w:hAnsi="Times New Roman" w:hint="eastAsia"/>
                <w:sz w:val="28"/>
                <w:szCs w:val="28"/>
              </w:rPr>
              <w:t>）钢坯市场上，东北特钢在中国的市场份额为</w:t>
            </w:r>
            <w:r w:rsidRPr="00B553BB">
              <w:rPr>
                <w:rFonts w:ascii="仿宋_GB2312" w:eastAsia="仿宋_GB2312" w:hAnsi="Times New Roman"/>
                <w:sz w:val="28"/>
                <w:szCs w:val="28"/>
              </w:rPr>
              <w:t>0.05%</w:t>
            </w:r>
            <w:r w:rsidRPr="00B553BB">
              <w:rPr>
                <w:rFonts w:ascii="仿宋_GB2312" w:eastAsia="仿宋_GB2312" w:hAnsi="Times New Roman" w:hint="eastAsia"/>
                <w:sz w:val="28"/>
                <w:szCs w:val="28"/>
              </w:rPr>
              <w:t>；</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2</w:t>
            </w:r>
            <w:r w:rsidRPr="00B553BB">
              <w:rPr>
                <w:rFonts w:ascii="仿宋_GB2312" w:eastAsia="仿宋_GB2312" w:hAnsi="Times New Roman" w:hint="eastAsia"/>
                <w:sz w:val="28"/>
                <w:szCs w:val="28"/>
              </w:rPr>
              <w:t>）以钢坯作为生产原料的各</w:t>
            </w:r>
            <w:bookmarkStart w:id="0" w:name="_GoBack"/>
            <w:bookmarkEnd w:id="0"/>
            <w:r w:rsidRPr="00B553BB">
              <w:rPr>
                <w:rFonts w:ascii="仿宋_GB2312" w:eastAsia="仿宋_GB2312" w:hAnsi="Times New Roman" w:hint="eastAsia"/>
                <w:sz w:val="28"/>
                <w:szCs w:val="28"/>
              </w:rPr>
              <w:t>类热轧钢材市场上，沙钢集团的市场份额均不超过</w:t>
            </w:r>
            <w:r w:rsidRPr="00B553BB">
              <w:rPr>
                <w:rFonts w:ascii="仿宋_GB2312" w:eastAsia="仿宋_GB2312" w:hAnsi="Times New Roman"/>
                <w:sz w:val="28"/>
                <w:szCs w:val="28"/>
              </w:rPr>
              <w:t>20%</w:t>
            </w:r>
            <w:r w:rsidRPr="00B553BB">
              <w:rPr>
                <w:rFonts w:ascii="仿宋_GB2312" w:eastAsia="仿宋_GB2312" w:hAnsi="Times New Roman" w:hint="eastAsia"/>
                <w:sz w:val="28"/>
                <w:szCs w:val="28"/>
              </w:rPr>
              <w:t>。</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sz w:val="28"/>
                <w:szCs w:val="28"/>
              </w:rPr>
              <w:t>3</w:t>
            </w:r>
            <w:r w:rsidRPr="00B553BB">
              <w:rPr>
                <w:rFonts w:ascii="仿宋_GB2312" w:eastAsia="仿宋_GB2312" w:hAnsi="Times New Roman" w:hint="eastAsia"/>
                <w:sz w:val="28"/>
                <w:szCs w:val="28"/>
              </w:rPr>
              <w:t>、其他有关市场：</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1</w:t>
            </w:r>
            <w:r w:rsidRPr="00B553BB">
              <w:rPr>
                <w:rFonts w:ascii="仿宋_GB2312" w:eastAsia="仿宋_GB2312" w:hAnsi="Times New Roman" w:hint="eastAsia"/>
                <w:sz w:val="28"/>
                <w:szCs w:val="28"/>
              </w:rPr>
              <w:t>）在不锈钢线材市场上，东北特钢在中国的市场份额为</w:t>
            </w:r>
            <w:r w:rsidRPr="00B553BB">
              <w:rPr>
                <w:rFonts w:ascii="仿宋_GB2312" w:eastAsia="仿宋_GB2312" w:hAnsi="Times New Roman"/>
                <w:sz w:val="28"/>
                <w:szCs w:val="28"/>
              </w:rPr>
              <w:t>19.8%</w:t>
            </w:r>
            <w:r w:rsidRPr="00B553BB">
              <w:rPr>
                <w:rFonts w:ascii="仿宋_GB2312" w:eastAsia="仿宋_GB2312" w:hAnsi="Times New Roman" w:hint="eastAsia"/>
                <w:sz w:val="28"/>
                <w:szCs w:val="28"/>
              </w:rPr>
              <w:t>；</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2</w:t>
            </w:r>
            <w:r w:rsidRPr="00B553BB">
              <w:rPr>
                <w:rFonts w:ascii="仿宋_GB2312" w:eastAsia="仿宋_GB2312" w:hAnsi="Times New Roman" w:hint="eastAsia"/>
                <w:sz w:val="28"/>
                <w:szCs w:val="28"/>
              </w:rPr>
              <w:t>）在硬线市场上，沙钢集团在中国的市场份额为</w:t>
            </w:r>
            <w:r w:rsidRPr="00B553BB">
              <w:rPr>
                <w:rFonts w:ascii="仿宋_GB2312" w:eastAsia="仿宋_GB2312" w:hAnsi="Times New Roman"/>
                <w:sz w:val="28"/>
                <w:szCs w:val="28"/>
              </w:rPr>
              <w:t>15.5%</w:t>
            </w:r>
            <w:r w:rsidRPr="00B553BB">
              <w:rPr>
                <w:rFonts w:ascii="仿宋_GB2312" w:eastAsia="仿宋_GB2312" w:hAnsi="Times New Roman" w:hint="eastAsia"/>
                <w:sz w:val="28"/>
                <w:szCs w:val="28"/>
              </w:rPr>
              <w:t>；</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3</w:t>
            </w:r>
            <w:r w:rsidRPr="00B553BB">
              <w:rPr>
                <w:rFonts w:ascii="仿宋_GB2312" w:eastAsia="仿宋_GB2312" w:hAnsi="Times New Roman" w:hint="eastAsia"/>
                <w:sz w:val="28"/>
                <w:szCs w:val="28"/>
              </w:rPr>
              <w:t>）在其它用途线材市场上，沙钢集团在中国的市场份额为</w:t>
            </w:r>
            <w:r w:rsidRPr="00B553BB">
              <w:rPr>
                <w:rFonts w:ascii="仿宋_GB2312" w:eastAsia="仿宋_GB2312" w:hAnsi="Times New Roman"/>
                <w:sz w:val="28"/>
                <w:szCs w:val="28"/>
              </w:rPr>
              <w:t>7.82%</w:t>
            </w:r>
            <w:r w:rsidRPr="00B553BB">
              <w:rPr>
                <w:rFonts w:ascii="仿宋_GB2312" w:eastAsia="仿宋_GB2312" w:hAnsi="Times New Roman" w:hint="eastAsia"/>
                <w:sz w:val="28"/>
                <w:szCs w:val="28"/>
              </w:rPr>
              <w:t>；</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4</w:t>
            </w:r>
            <w:r w:rsidRPr="00B553BB">
              <w:rPr>
                <w:rFonts w:ascii="仿宋_GB2312" w:eastAsia="仿宋_GB2312" w:hAnsi="Times New Roman" w:hint="eastAsia"/>
                <w:sz w:val="28"/>
                <w:szCs w:val="28"/>
              </w:rPr>
              <w:t>）在热轧薄宽钢带市场上，沙钢集团在中国的市场份额为</w:t>
            </w:r>
            <w:r w:rsidRPr="00B553BB">
              <w:rPr>
                <w:rFonts w:ascii="仿宋_GB2312" w:eastAsia="仿宋_GB2312" w:hAnsi="Times New Roman"/>
                <w:sz w:val="28"/>
                <w:szCs w:val="28"/>
              </w:rPr>
              <w:t>12.09%</w:t>
            </w:r>
            <w:r w:rsidRPr="00B553BB">
              <w:rPr>
                <w:rFonts w:ascii="仿宋_GB2312" w:eastAsia="仿宋_GB2312" w:hAnsi="Times New Roman" w:hint="eastAsia"/>
                <w:sz w:val="28"/>
                <w:szCs w:val="28"/>
              </w:rPr>
              <w:t>；</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5</w:t>
            </w:r>
            <w:r w:rsidRPr="00B553BB">
              <w:rPr>
                <w:rFonts w:ascii="仿宋_GB2312" w:eastAsia="仿宋_GB2312" w:hAnsi="Times New Roman" w:hint="eastAsia"/>
                <w:sz w:val="28"/>
                <w:szCs w:val="28"/>
              </w:rPr>
              <w:t>）在钢筋市场上，沙钢集团在中国的市场份额为</w:t>
            </w:r>
            <w:r w:rsidRPr="00B553BB">
              <w:rPr>
                <w:rFonts w:ascii="仿宋_GB2312" w:eastAsia="仿宋_GB2312" w:hAnsi="Times New Roman"/>
                <w:sz w:val="28"/>
                <w:szCs w:val="28"/>
              </w:rPr>
              <w:t>2.79%</w:t>
            </w:r>
            <w:r w:rsidRPr="00B553BB">
              <w:rPr>
                <w:rFonts w:ascii="仿宋_GB2312" w:eastAsia="仿宋_GB2312" w:hAnsi="Times New Roman" w:hint="eastAsia"/>
                <w:sz w:val="28"/>
                <w:szCs w:val="28"/>
              </w:rPr>
              <w:t>；</w:t>
            </w:r>
          </w:p>
          <w:p w:rsidR="00BB371D" w:rsidRPr="00B553BB" w:rsidRDefault="00BB371D" w:rsidP="00B553BB">
            <w:pPr>
              <w:spacing w:line="500" w:lineRule="exact"/>
              <w:rPr>
                <w:rFonts w:ascii="仿宋_GB2312" w:eastAsia="仿宋_GB2312" w:hAnsi="Times New Roman"/>
                <w:sz w:val="28"/>
                <w:szCs w:val="28"/>
              </w:rPr>
            </w:pPr>
            <w:r w:rsidRPr="00B553BB">
              <w:rPr>
                <w:rFonts w:ascii="仿宋_GB2312" w:eastAsia="仿宋_GB2312" w:hAnsi="Times New Roman" w:hint="eastAsia"/>
                <w:sz w:val="28"/>
                <w:szCs w:val="28"/>
              </w:rPr>
              <w:t>（</w:t>
            </w:r>
            <w:r w:rsidRPr="00B553BB">
              <w:rPr>
                <w:rFonts w:ascii="仿宋_GB2312" w:eastAsia="仿宋_GB2312" w:hAnsi="Times New Roman"/>
                <w:sz w:val="28"/>
                <w:szCs w:val="28"/>
              </w:rPr>
              <w:t>6</w:t>
            </w:r>
            <w:r w:rsidRPr="00B553BB">
              <w:rPr>
                <w:rFonts w:ascii="仿宋_GB2312" w:eastAsia="仿宋_GB2312" w:hAnsi="Times New Roman" w:hint="eastAsia"/>
                <w:sz w:val="28"/>
                <w:szCs w:val="28"/>
              </w:rPr>
              <w:t>）在钢坯市场上，东北特钢在中国的市场份额为</w:t>
            </w:r>
            <w:r w:rsidRPr="00B553BB">
              <w:rPr>
                <w:rFonts w:ascii="仿宋_GB2312" w:eastAsia="仿宋_GB2312" w:hAnsi="Times New Roman"/>
                <w:sz w:val="28"/>
                <w:szCs w:val="28"/>
              </w:rPr>
              <w:t>0.05%</w:t>
            </w:r>
            <w:r w:rsidRPr="00B553BB">
              <w:rPr>
                <w:rFonts w:ascii="仿宋_GB2312" w:eastAsia="仿宋_GB2312" w:hAnsi="Times New Roman" w:hint="eastAsia"/>
                <w:sz w:val="28"/>
                <w:szCs w:val="28"/>
              </w:rPr>
              <w:t>。</w:t>
            </w:r>
          </w:p>
        </w:tc>
      </w:tr>
    </w:tbl>
    <w:p w:rsidR="00BB371D" w:rsidRPr="00202C4C" w:rsidRDefault="00BB371D" w:rsidP="00094095">
      <w:pPr>
        <w:spacing w:line="500" w:lineRule="exact"/>
        <w:rPr>
          <w:rFonts w:ascii="仿宋_GB2312" w:eastAsia="仿宋_GB2312" w:hAnsi="Times New Roman"/>
          <w:sz w:val="28"/>
          <w:szCs w:val="28"/>
        </w:rPr>
      </w:pPr>
    </w:p>
    <w:p w:rsidR="00BB371D" w:rsidRPr="007E5805" w:rsidRDefault="00BB371D"/>
    <w:sectPr w:rsidR="00BB371D" w:rsidRPr="007E5805" w:rsidSect="00FC59E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371D" w:rsidRDefault="00BB371D" w:rsidP="00094095">
      <w:r>
        <w:separator/>
      </w:r>
    </w:p>
  </w:endnote>
  <w:endnote w:type="continuationSeparator" w:id="0">
    <w:p w:rsidR="00BB371D" w:rsidRDefault="00BB371D" w:rsidP="00094095">
      <w:r>
        <w:continuationSeparator/>
      </w:r>
    </w:p>
  </w:endnote>
  <w:endnote w:id="1">
    <w:p w:rsidR="00BB371D" w:rsidRDefault="00BB371D" w:rsidP="00094095">
      <w:pPr>
        <w:pStyle w:val="EndnoteText"/>
      </w:pPr>
      <w:r>
        <w:rPr>
          <w:rStyle w:val="EndnoteReference"/>
        </w:rPr>
        <w:endnoteRef/>
      </w:r>
      <w:r w:rsidRPr="00202C4C">
        <w:rPr>
          <w:rFonts w:ascii="楷体_GB2312" w:eastAsia="楷体_GB2312"/>
        </w:rPr>
        <w:t xml:space="preserve"> </w:t>
      </w:r>
      <w:r w:rsidRPr="00202C4C">
        <w:rPr>
          <w:rFonts w:ascii="楷体_GB2312" w:eastAsia="楷体_GB2312" w:hint="eastAsia"/>
          <w:sz w:val="24"/>
          <w:szCs w:val="24"/>
        </w:rPr>
        <w:t>申报方</w:t>
      </w:r>
      <w:r>
        <w:rPr>
          <w:rFonts w:ascii="楷体_GB2312" w:eastAsia="楷体_GB2312" w:hint="eastAsia"/>
          <w:sz w:val="24"/>
          <w:szCs w:val="24"/>
        </w:rPr>
        <w:t>申请简易案件的理由是基于市场份额时，须同时具备</w:t>
      </w:r>
      <w:r>
        <w:rPr>
          <w:rFonts w:ascii="楷体_GB2312" w:eastAsia="楷体_GB2312"/>
          <w:sz w:val="24"/>
          <w:szCs w:val="24"/>
        </w:rPr>
        <w:t>1-3</w:t>
      </w:r>
      <w:r>
        <w:rPr>
          <w:rFonts w:ascii="楷体_GB2312" w:eastAsia="楷体_GB2312" w:hint="eastAsia"/>
          <w:sz w:val="24"/>
          <w:szCs w:val="24"/>
        </w:rPr>
        <w:t>项规定事由，且</w:t>
      </w:r>
      <w:r w:rsidRPr="00202C4C">
        <w:rPr>
          <w:rFonts w:ascii="楷体_GB2312" w:eastAsia="楷体_GB2312" w:hint="eastAsia"/>
          <w:sz w:val="24"/>
          <w:szCs w:val="24"/>
        </w:rPr>
        <w:t>在备注中说明界定的相关商品市场和相关地域市场</w:t>
      </w:r>
      <w:r>
        <w:rPr>
          <w:rFonts w:ascii="楷体_GB2312" w:eastAsia="楷体_GB2312" w:hint="eastAsia"/>
          <w:sz w:val="24"/>
          <w:szCs w:val="24"/>
        </w:rPr>
        <w:t>（无须阐述界定理由）</w:t>
      </w:r>
      <w:r w:rsidRPr="00202C4C">
        <w:rPr>
          <w:rFonts w:ascii="楷体_GB2312" w:eastAsia="楷体_GB2312" w:hint="eastAsia"/>
          <w:sz w:val="24"/>
          <w:szCs w:val="24"/>
        </w:rPr>
        <w:t>，以及相关市场份额；市场份额可以区间形式提供，区间幅度不应超过</w:t>
      </w:r>
      <w:r w:rsidRPr="00202C4C">
        <w:rPr>
          <w:rFonts w:ascii="楷体_GB2312" w:eastAsia="楷体_GB2312"/>
          <w:sz w:val="24"/>
          <w:szCs w:val="24"/>
        </w:rPr>
        <w:t>5%</w:t>
      </w:r>
      <w:r w:rsidRPr="00202C4C">
        <w:rPr>
          <w:rFonts w:ascii="楷体_GB2312" w:eastAsia="楷体_GB2312" w:hint="eastAsia"/>
          <w:sz w:val="24"/>
          <w:szCs w:val="24"/>
        </w:rPr>
        <w:t>。</w:t>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0000000000000000000"/>
    <w:charset w:val="86"/>
    <w:family w:val="moder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0000000000000000000"/>
    <w:charset w:val="86"/>
    <w:family w:val="modern"/>
    <w:notTrueType/>
    <w:pitch w:val="default"/>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371D" w:rsidRDefault="00BB371D" w:rsidP="00094095">
      <w:r>
        <w:separator/>
      </w:r>
    </w:p>
  </w:footnote>
  <w:footnote w:type="continuationSeparator" w:id="0">
    <w:p w:rsidR="00BB371D" w:rsidRDefault="00BB371D" w:rsidP="00094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52B6C"/>
    <w:multiLevelType w:val="hybridMultilevel"/>
    <w:tmpl w:val="DC44E188"/>
    <w:lvl w:ilvl="0" w:tplc="1220C61C">
      <w:start w:val="1"/>
      <w:numFmt w:val="decimal"/>
      <w:lvlText w:val="%1、"/>
      <w:lvlJc w:val="left"/>
      <w:pPr>
        <w:ind w:left="720" w:hanging="72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94095"/>
    <w:rsid w:val="000051C3"/>
    <w:rsid w:val="00077202"/>
    <w:rsid w:val="00094095"/>
    <w:rsid w:val="000F39E5"/>
    <w:rsid w:val="00192DAD"/>
    <w:rsid w:val="00202C4C"/>
    <w:rsid w:val="00212D6B"/>
    <w:rsid w:val="002D5E10"/>
    <w:rsid w:val="00335F8D"/>
    <w:rsid w:val="00346E14"/>
    <w:rsid w:val="00462174"/>
    <w:rsid w:val="0048602E"/>
    <w:rsid w:val="005369BE"/>
    <w:rsid w:val="00586DA3"/>
    <w:rsid w:val="005A49DB"/>
    <w:rsid w:val="007E5805"/>
    <w:rsid w:val="008053B2"/>
    <w:rsid w:val="008E7B8C"/>
    <w:rsid w:val="009506E3"/>
    <w:rsid w:val="00984F56"/>
    <w:rsid w:val="00B378EA"/>
    <w:rsid w:val="00B553BB"/>
    <w:rsid w:val="00BA1596"/>
    <w:rsid w:val="00BB371D"/>
    <w:rsid w:val="00BF6EBA"/>
    <w:rsid w:val="00CD76B9"/>
    <w:rsid w:val="00CE0A30"/>
    <w:rsid w:val="00D67C07"/>
    <w:rsid w:val="00F87C1F"/>
    <w:rsid w:val="00FC59EC"/>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4095"/>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094095"/>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rsid w:val="00094095"/>
    <w:pPr>
      <w:snapToGrid w:val="0"/>
      <w:jc w:val="left"/>
    </w:pPr>
  </w:style>
  <w:style w:type="character" w:customStyle="1" w:styleId="EndnoteTextChar">
    <w:name w:val="Endnote Text Char"/>
    <w:basedOn w:val="DefaultParagraphFont"/>
    <w:link w:val="EndnoteText"/>
    <w:uiPriority w:val="99"/>
    <w:semiHidden/>
    <w:locked/>
    <w:rsid w:val="00094095"/>
    <w:rPr>
      <w:rFonts w:cs="Times New Roman"/>
    </w:rPr>
  </w:style>
  <w:style w:type="character" w:styleId="EndnoteReference">
    <w:name w:val="endnote reference"/>
    <w:basedOn w:val="DefaultParagraphFont"/>
    <w:uiPriority w:val="99"/>
    <w:semiHidden/>
    <w:rsid w:val="00094095"/>
    <w:rPr>
      <w:rFonts w:cs="Times New Roman"/>
      <w:vertAlign w:val="superscript"/>
    </w:rPr>
  </w:style>
  <w:style w:type="paragraph" w:styleId="Header">
    <w:name w:val="header"/>
    <w:basedOn w:val="Normal"/>
    <w:link w:val="HeaderChar"/>
    <w:uiPriority w:val="99"/>
    <w:rsid w:val="000051C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0051C3"/>
    <w:rPr>
      <w:rFonts w:cs="Times New Roman"/>
      <w:sz w:val="18"/>
      <w:szCs w:val="18"/>
    </w:rPr>
  </w:style>
  <w:style w:type="paragraph" w:styleId="Footer">
    <w:name w:val="footer"/>
    <w:basedOn w:val="Normal"/>
    <w:link w:val="FooterChar"/>
    <w:uiPriority w:val="99"/>
    <w:rsid w:val="000051C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0051C3"/>
    <w:rPr>
      <w:rFonts w:cs="Times New Roman"/>
      <w:sz w:val="18"/>
      <w:szCs w:val="18"/>
    </w:rPr>
  </w:style>
  <w:style w:type="paragraph" w:styleId="ListParagraph">
    <w:name w:val="List Paragraph"/>
    <w:basedOn w:val="Normal"/>
    <w:uiPriority w:val="99"/>
    <w:qFormat/>
    <w:rsid w:val="00077202"/>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5</TotalTime>
  <Pages>4</Pages>
  <Words>242</Words>
  <Characters>1385</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dc:title>
  <dc:subject/>
  <dc:creator>dell</dc:creator>
  <cp:keywords/>
  <dc:description/>
  <cp:lastModifiedBy>mofcom</cp:lastModifiedBy>
  <cp:revision>2</cp:revision>
  <dcterms:created xsi:type="dcterms:W3CDTF">2017-11-15T06:51:00Z</dcterms:created>
  <dcterms:modified xsi:type="dcterms:W3CDTF">2017-11-15T06:51:00Z</dcterms:modified>
</cp:coreProperties>
</file>