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62696B" w14:textId="77777777" w:rsidR="00DF1EE8" w:rsidRDefault="00DF1EE8" w:rsidP="00DF1EE8">
      <w:pPr>
        <w:spacing w:line="440" w:lineRule="exact"/>
        <w:jc w:val="center"/>
        <w:rPr>
          <w:rFonts w:ascii="黑体" w:eastAsia="黑体" w:hAnsi="Times New Roman"/>
          <w:sz w:val="30"/>
          <w:szCs w:val="30"/>
          <w:lang w:eastAsia="zh-CN"/>
        </w:rPr>
      </w:pPr>
      <w:r w:rsidRPr="00202C4C">
        <w:rPr>
          <w:rFonts w:ascii="黑体" w:eastAsia="黑体" w:hAnsi="Times New Roman" w:hint="eastAsia"/>
          <w:sz w:val="30"/>
          <w:szCs w:val="30"/>
          <w:lang w:eastAsia="zh-CN"/>
        </w:rPr>
        <w:t>经营者集中简易案件公示表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5670"/>
      </w:tblGrid>
      <w:tr w:rsidR="00DF1EE8" w:rsidRPr="00B813E7" w14:paraId="6A6252E6" w14:textId="77777777" w:rsidTr="003133B2">
        <w:trPr>
          <w:trHeight w:val="419"/>
        </w:trPr>
        <w:tc>
          <w:tcPr>
            <w:tcW w:w="3227" w:type="dxa"/>
            <w:shd w:val="clear" w:color="auto" w:fill="auto"/>
          </w:tcPr>
          <w:p w14:paraId="4D8DCF45" w14:textId="1E4672AC" w:rsidR="00DF1EE8" w:rsidRPr="00423ACE" w:rsidRDefault="00DF1EE8" w:rsidP="00DF1EE8">
            <w:pPr>
              <w:spacing w:after="0"/>
              <w:jc w:val="center"/>
              <w:rPr>
                <w:rFonts w:cs="Arial"/>
                <w:b/>
                <w:sz w:val="24"/>
                <w:szCs w:val="24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4556075" w14:textId="10436321" w:rsidR="00DF1EE8" w:rsidRPr="00B67880" w:rsidRDefault="001371B8" w:rsidP="00DF1EE8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B67880">
              <w:rPr>
                <w:rFonts w:hint="eastAsia"/>
                <w:kern w:val="0"/>
                <w:sz w:val="22"/>
                <w:szCs w:val="22"/>
                <w:lang w:eastAsia="zh-CN"/>
              </w:rPr>
              <w:t>波洛莱环非物流公司收购科特迪瓦码头股份公司股权案</w:t>
            </w:r>
          </w:p>
        </w:tc>
      </w:tr>
      <w:tr w:rsidR="00DF1EE8" w:rsidRPr="00B813E7" w14:paraId="7317CD16" w14:textId="77777777" w:rsidTr="003133B2">
        <w:tc>
          <w:tcPr>
            <w:tcW w:w="3227" w:type="dxa"/>
            <w:shd w:val="clear" w:color="auto" w:fill="auto"/>
          </w:tcPr>
          <w:p w14:paraId="59133F0F" w14:textId="0567115A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5568421" w14:textId="697264FE" w:rsidR="00DF1EE8" w:rsidRPr="00770A04" w:rsidRDefault="00770A04" w:rsidP="0088653D">
            <w:pPr>
              <w:snapToGrid w:val="0"/>
              <w:spacing w:beforeLines="50" w:before="120" w:afterLines="50" w:after="120"/>
              <w:jc w:val="both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2018</w:t>
            </w:r>
            <w:r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年</w:t>
            </w:r>
            <w:r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9</w:t>
            </w:r>
            <w:r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月</w:t>
            </w:r>
            <w:r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14</w:t>
            </w:r>
            <w:r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日</w:t>
            </w: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，</w:t>
            </w:r>
            <w:r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波洛莱环非物流公司（“</w:t>
            </w:r>
            <w:r w:rsidRPr="00B67880">
              <w:rPr>
                <w:rFonts w:ascii="Times New Roman" w:hAnsi="Times New Roman"/>
                <w:b/>
                <w:sz w:val="22"/>
                <w:szCs w:val="22"/>
                <w:lang w:eastAsia="zh-CN"/>
              </w:rPr>
              <w:t>波洛莱环非</w:t>
            </w:r>
            <w:r w:rsidRPr="00B67880">
              <w:rPr>
                <w:rFonts w:ascii="Times New Roman" w:hAnsi="Times New Roman" w:hint="eastAsia"/>
                <w:b/>
                <w:sz w:val="22"/>
                <w:szCs w:val="22"/>
                <w:lang w:eastAsia="zh-CN"/>
              </w:rPr>
              <w:t>物流</w:t>
            </w:r>
            <w:r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”）</w:t>
            </w:r>
            <w:r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与</w:t>
            </w:r>
            <w:r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AP</w:t>
            </w:r>
            <w:r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穆勒码头有限公司（“</w:t>
            </w:r>
            <w:r w:rsidRPr="00B67880">
              <w:rPr>
                <w:rFonts w:ascii="Times New Roman" w:hAnsi="Times New Roman" w:hint="eastAsia"/>
                <w:b/>
                <w:sz w:val="22"/>
                <w:szCs w:val="22"/>
                <w:lang w:eastAsia="zh-CN"/>
              </w:rPr>
              <w:t>AP</w:t>
            </w:r>
            <w:r w:rsidRPr="00B67880">
              <w:rPr>
                <w:rFonts w:ascii="Times New Roman" w:hAnsi="Times New Roman" w:hint="eastAsia"/>
                <w:b/>
                <w:sz w:val="22"/>
                <w:szCs w:val="22"/>
                <w:lang w:eastAsia="zh-CN"/>
              </w:rPr>
              <w:t>穆勒码头</w:t>
            </w:r>
            <w:r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”）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签署</w:t>
            </w: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《股份购买协议》。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根据该协议</w:t>
            </w:r>
            <w:r w:rsidR="0067688D">
              <w:rPr>
                <w:rFonts w:ascii="Times New Roman" w:hAnsi="Times New Roman"/>
                <w:sz w:val="22"/>
                <w:szCs w:val="22"/>
                <w:lang w:eastAsia="zh-CN"/>
              </w:rPr>
              <w:t>，</w:t>
            </w:r>
            <w:r w:rsidR="001371B8"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波洛莱环非物流</w:t>
            </w:r>
            <w:r w:rsidR="001371B8"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将从</w:t>
            </w:r>
            <w:r w:rsidR="001371B8"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AP</w:t>
            </w:r>
            <w:r w:rsidR="001371B8"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穆勒码头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收购</w:t>
            </w:r>
            <w:r w:rsidR="001371B8"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其持有</w:t>
            </w:r>
            <w:r w:rsidR="001371B8"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科特迪瓦码头</w:t>
            </w:r>
            <w:r w:rsidR="001371B8"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股份公司（“</w:t>
            </w:r>
            <w:r w:rsidR="001371B8" w:rsidRPr="00B67880">
              <w:rPr>
                <w:rFonts w:ascii="Times New Roman" w:hAnsi="Times New Roman"/>
                <w:b/>
                <w:sz w:val="22"/>
                <w:szCs w:val="22"/>
                <w:lang w:eastAsia="zh-CN"/>
              </w:rPr>
              <w:t>科特迪瓦码头</w:t>
            </w:r>
            <w:r w:rsidR="001371B8"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”）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的</w:t>
            </w:r>
            <w:r w:rsidR="0067688D">
              <w:rPr>
                <w:rFonts w:ascii="Times New Roman" w:hAnsi="Times New Roman"/>
                <w:sz w:val="22"/>
                <w:szCs w:val="22"/>
                <w:lang w:eastAsia="zh-CN"/>
              </w:rPr>
              <w:t>部分</w:t>
            </w:r>
            <w:r w:rsidR="0088653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股权</w:t>
            </w:r>
            <w:bookmarkStart w:id="0" w:name="_GoBack"/>
            <w:bookmarkEnd w:id="0"/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。</w:t>
            </w:r>
            <w:r w:rsidR="0067688D">
              <w:rPr>
                <w:rFonts w:ascii="Times New Roman" w:hAnsi="Times New Roman"/>
                <w:sz w:val="22"/>
                <w:szCs w:val="22"/>
                <w:lang w:eastAsia="zh-CN"/>
              </w:rPr>
              <w:t>交易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完成</w:t>
            </w:r>
            <w:r w:rsidR="0067688D">
              <w:rPr>
                <w:rFonts w:ascii="Times New Roman" w:hAnsi="Times New Roman"/>
                <w:sz w:val="22"/>
                <w:szCs w:val="22"/>
                <w:lang w:eastAsia="zh-CN"/>
              </w:rPr>
              <w:t>后，科特迪瓦码头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将</w:t>
            </w:r>
            <w:r w:rsidR="0067688D">
              <w:rPr>
                <w:rFonts w:ascii="Times New Roman" w:hAnsi="Times New Roman"/>
                <w:sz w:val="22"/>
                <w:szCs w:val="22"/>
                <w:lang w:eastAsia="zh-CN"/>
              </w:rPr>
              <w:t>由</w:t>
            </w:r>
            <w:r w:rsidR="0067688D" w:rsidRP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波洛莱环非物流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与</w:t>
            </w:r>
            <w:r w:rsidR="0067688D" w:rsidRP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AP</w:t>
            </w:r>
            <w:r w:rsidR="0067688D" w:rsidRP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穆勒码头</w:t>
            </w:r>
            <w:r w:rsidR="001371B8"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共同控制。</w:t>
            </w:r>
          </w:p>
        </w:tc>
      </w:tr>
      <w:tr w:rsidR="00DF1EE8" w:rsidRPr="00B813E7" w14:paraId="6CE468D9" w14:textId="77777777" w:rsidTr="003133B2">
        <w:tc>
          <w:tcPr>
            <w:tcW w:w="3227" w:type="dxa"/>
            <w:vMerge w:val="restart"/>
            <w:shd w:val="clear" w:color="auto" w:fill="auto"/>
          </w:tcPr>
          <w:p w14:paraId="7323C2CB" w14:textId="5A0AFFD9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参与集中的经营者简介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DF4E50D" w14:textId="57A672E8" w:rsidR="00DF1EE8" w:rsidRPr="00B67880" w:rsidRDefault="00DF1EE8" w:rsidP="00DF1EE8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B67880">
              <w:rPr>
                <w:sz w:val="22"/>
                <w:szCs w:val="22"/>
                <w:lang w:eastAsia="zh-CN"/>
              </w:rPr>
              <w:t xml:space="preserve">1. </w:t>
            </w:r>
            <w:r w:rsidR="001371B8"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波洛莱环非物流</w:t>
            </w:r>
          </w:p>
          <w:p w14:paraId="7703EE93" w14:textId="74632056" w:rsidR="00DF1EE8" w:rsidRPr="00B67880" w:rsidRDefault="001371B8" w:rsidP="0067688D">
            <w:pPr>
              <w:snapToGrid w:val="0"/>
              <w:jc w:val="both"/>
              <w:rPr>
                <w:sz w:val="22"/>
                <w:szCs w:val="22"/>
                <w:lang w:eastAsia="zh-CN"/>
              </w:rPr>
            </w:pPr>
            <w:r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波洛莱环非物流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成立于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2009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年</w:t>
            </w:r>
            <w:r w:rsidR="0067688D">
              <w:rPr>
                <w:rFonts w:ascii="Times New Roman" w:hAnsi="Times New Roman"/>
                <w:sz w:val="22"/>
                <w:szCs w:val="22"/>
                <w:lang w:eastAsia="zh-CN"/>
              </w:rPr>
              <w:t>，注册地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位于</w:t>
            </w:r>
            <w:r w:rsidR="0067688D">
              <w:rPr>
                <w:rFonts w:ascii="Times New Roman" w:hAnsi="Times New Roman"/>
                <w:sz w:val="22"/>
                <w:szCs w:val="22"/>
                <w:lang w:eastAsia="zh-CN"/>
              </w:rPr>
              <w:t>法国皮托市。</w:t>
            </w:r>
            <w:r w:rsidR="0067688D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该公司隶属于</w:t>
            </w:r>
            <w:r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波洛莱股份有限公司（</w:t>
            </w:r>
            <w:r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Bolloré SA</w:t>
            </w:r>
            <w:r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）</w:t>
            </w:r>
            <w:r w:rsidRPr="00B67880">
              <w:rPr>
                <w:rFonts w:ascii="Times New Roman" w:hAnsi="Times New Roman" w:hint="eastAsia"/>
                <w:sz w:val="22"/>
                <w:szCs w:val="22"/>
                <w:lang w:eastAsia="zh-CN"/>
              </w:rPr>
              <w:t>，其</w:t>
            </w:r>
            <w:r w:rsidRPr="00B67880">
              <w:rPr>
                <w:rFonts w:ascii="Times New Roman" w:hAnsi="Times New Roman"/>
                <w:sz w:val="22"/>
                <w:szCs w:val="22"/>
                <w:lang w:eastAsia="zh-CN"/>
              </w:rPr>
              <w:t>主营业务是在非洲地区提供物流服务，包括货运代理、清关和仓储以及港口码头与铁路的管理和运营。</w:t>
            </w:r>
          </w:p>
        </w:tc>
      </w:tr>
      <w:tr w:rsidR="00DF1EE8" w:rsidRPr="00B813E7" w14:paraId="471E387A" w14:textId="77777777" w:rsidTr="003133B2">
        <w:trPr>
          <w:trHeight w:val="1692"/>
        </w:trPr>
        <w:tc>
          <w:tcPr>
            <w:tcW w:w="3227" w:type="dxa"/>
            <w:vMerge/>
            <w:shd w:val="clear" w:color="auto" w:fill="auto"/>
          </w:tcPr>
          <w:p w14:paraId="119738F5" w14:textId="77777777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14:paraId="7170C6AC" w14:textId="13BEDDEC" w:rsidR="00DF1EE8" w:rsidRPr="00B67880" w:rsidRDefault="00DF1EE8" w:rsidP="00DF1EE8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B67880">
              <w:rPr>
                <w:sz w:val="22"/>
                <w:szCs w:val="22"/>
                <w:lang w:eastAsia="zh-CN"/>
              </w:rPr>
              <w:t xml:space="preserve">2. </w:t>
            </w:r>
            <w:r w:rsidR="001371B8" w:rsidRPr="00B67880">
              <w:rPr>
                <w:rFonts w:hint="eastAsia"/>
                <w:sz w:val="22"/>
                <w:szCs w:val="22"/>
                <w:lang w:eastAsia="zh-CN"/>
              </w:rPr>
              <w:t>AP</w:t>
            </w:r>
            <w:r w:rsidR="001371B8" w:rsidRPr="00B67880">
              <w:rPr>
                <w:rFonts w:hint="eastAsia"/>
                <w:sz w:val="22"/>
                <w:szCs w:val="22"/>
                <w:lang w:eastAsia="zh-CN"/>
              </w:rPr>
              <w:t>穆勒码头</w:t>
            </w:r>
          </w:p>
          <w:p w14:paraId="0E82B31E" w14:textId="1C7D892F" w:rsidR="001371B8" w:rsidRPr="00B67880" w:rsidRDefault="001371B8" w:rsidP="00836852">
            <w:pPr>
              <w:snapToGrid w:val="0"/>
              <w:jc w:val="both"/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</w:pP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AP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穆勒码头</w:t>
            </w:r>
            <w:r w:rsidR="0067688D">
              <w:rPr>
                <w:rFonts w:ascii="Times New Roman" w:hAnsi="Times New Roman" w:hint="eastAsia"/>
                <w:sz w:val="22"/>
                <w:szCs w:val="22"/>
                <w:shd w:val="clear" w:color="auto" w:fill="FFFFFF"/>
                <w:lang w:eastAsia="zh-CN"/>
              </w:rPr>
              <w:t>成立于</w:t>
            </w:r>
            <w:r w:rsidR="0067688D">
              <w:rPr>
                <w:rFonts w:ascii="Times New Roman" w:hAnsi="Times New Roman" w:hint="eastAsia"/>
                <w:sz w:val="22"/>
                <w:szCs w:val="22"/>
                <w:shd w:val="clear" w:color="auto" w:fill="FFFFFF"/>
                <w:lang w:eastAsia="zh-CN"/>
              </w:rPr>
              <w:t>1904</w:t>
            </w:r>
            <w:r w:rsidR="0067688D">
              <w:rPr>
                <w:rFonts w:ascii="Times New Roman" w:hAnsi="Times New Roman" w:hint="eastAsia"/>
                <w:sz w:val="22"/>
                <w:szCs w:val="22"/>
                <w:shd w:val="clear" w:color="auto" w:fill="FFFFFF"/>
                <w:lang w:eastAsia="zh-CN"/>
              </w:rPr>
              <w:t>年</w:t>
            </w:r>
            <w:r w:rsidR="0067688D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，注册地位于丹麦哥本哈根。</w:t>
            </w:r>
            <w:r w:rsidR="0067688D"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AP</w:t>
            </w:r>
            <w:r w:rsidR="0067688D"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穆勒码头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是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AP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穆勒马士基</w:t>
            </w:r>
            <w:r w:rsidRPr="00B67880">
              <w:rPr>
                <w:rFonts w:ascii="Times New Roman" w:hAnsi="Times New Roman" w:hint="eastAsia"/>
                <w:sz w:val="22"/>
                <w:szCs w:val="22"/>
                <w:shd w:val="clear" w:color="auto" w:fill="FFFFFF"/>
                <w:lang w:eastAsia="zh-CN"/>
              </w:rPr>
              <w:t>股份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公司（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A.P. Moller - Maersk A/S</w:t>
            </w:r>
            <w:r w:rsidRPr="00B67880">
              <w:rPr>
                <w:rFonts w:ascii="Times New Roman" w:hAnsi="Times New Roman" w:hint="eastAsia"/>
                <w:sz w:val="22"/>
                <w:szCs w:val="22"/>
                <w:shd w:val="clear" w:color="auto" w:fill="FFFFFF"/>
                <w:lang w:eastAsia="zh-CN"/>
              </w:rPr>
              <w:t>，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以下简称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“</w:t>
            </w:r>
            <w:r w:rsidRPr="00B67880">
              <w:rPr>
                <w:rFonts w:ascii="Times New Roman" w:hAnsi="Times New Roman"/>
                <w:b/>
                <w:sz w:val="22"/>
                <w:szCs w:val="22"/>
                <w:shd w:val="clear" w:color="auto" w:fill="FFFFFF"/>
                <w:lang w:eastAsia="zh-CN"/>
              </w:rPr>
              <w:t>AP</w:t>
            </w:r>
            <w:r w:rsidRPr="00B67880">
              <w:rPr>
                <w:rFonts w:ascii="Times New Roman" w:hAnsi="Times New Roman"/>
                <w:b/>
                <w:sz w:val="22"/>
                <w:szCs w:val="22"/>
                <w:shd w:val="clear" w:color="auto" w:fill="FFFFFF"/>
                <w:lang w:eastAsia="zh-CN"/>
              </w:rPr>
              <w:t>穆勒马士基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”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）的全资子公司</w:t>
            </w:r>
            <w:r w:rsidR="00836852">
              <w:rPr>
                <w:rFonts w:ascii="Times New Roman" w:hAnsi="Times New Roman" w:hint="eastAsia"/>
                <w:sz w:val="22"/>
                <w:szCs w:val="22"/>
                <w:shd w:val="clear" w:color="auto" w:fill="FFFFFF"/>
                <w:lang w:eastAsia="zh-CN"/>
              </w:rPr>
              <w:t>，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是一家总部位于丹麦哥本哈根的综合性运输与物流公司，在能源领域</w:t>
            </w:r>
            <w:r w:rsidR="00836852">
              <w:rPr>
                <w:rFonts w:ascii="Times New Roman" w:hAnsi="Times New Roman" w:hint="eastAsia"/>
                <w:sz w:val="22"/>
                <w:szCs w:val="22"/>
                <w:shd w:val="clear" w:color="auto" w:fill="FFFFFF"/>
                <w:lang w:eastAsia="zh-CN"/>
              </w:rPr>
              <w:t>也</w:t>
            </w:r>
            <w:r w:rsidRPr="00B67880">
              <w:rPr>
                <w:rFonts w:ascii="Times New Roman" w:hAnsi="Times New Roman"/>
                <w:sz w:val="22"/>
                <w:szCs w:val="22"/>
                <w:shd w:val="clear" w:color="auto" w:fill="FFFFFF"/>
                <w:lang w:eastAsia="zh-CN"/>
              </w:rPr>
              <w:t>从事业务活动。</w:t>
            </w:r>
          </w:p>
        </w:tc>
      </w:tr>
      <w:tr w:rsidR="00DF1EE8" w:rsidRPr="007142ED" w14:paraId="581D7E10" w14:textId="77777777" w:rsidTr="003133B2">
        <w:tc>
          <w:tcPr>
            <w:tcW w:w="3227" w:type="dxa"/>
            <w:shd w:val="clear" w:color="auto" w:fill="auto"/>
          </w:tcPr>
          <w:p w14:paraId="6D696B19" w14:textId="482A78C7" w:rsidR="00DF1EE8" w:rsidRPr="00423ACE" w:rsidRDefault="00DF1EE8" w:rsidP="00DF1EE8">
            <w:pPr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22655A60" w14:textId="31A85F3D" w:rsidR="006B121A" w:rsidRPr="00F62516" w:rsidRDefault="001371B8" w:rsidP="006B121A">
            <w:pPr>
              <w:snapToGrid w:val="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="006B121A" w:rsidRPr="00F62516">
              <w:rPr>
                <w:sz w:val="22"/>
                <w:szCs w:val="22"/>
                <w:lang w:eastAsia="zh-CN"/>
              </w:rPr>
              <w:t xml:space="preserve"> </w:t>
            </w:r>
            <w:r w:rsidR="006B121A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="006B121A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6B121A" w:rsidRPr="00F62516">
              <w:rPr>
                <w:sz w:val="22"/>
                <w:szCs w:val="22"/>
                <w:lang w:eastAsia="zh-CN"/>
              </w:rPr>
              <w:t>所有参与集中的经营者在同一相关市场所占的市场份额合计小于</w:t>
            </w:r>
            <w:r w:rsidR="006B121A" w:rsidRPr="00F62516">
              <w:rPr>
                <w:sz w:val="22"/>
                <w:szCs w:val="22"/>
                <w:lang w:eastAsia="zh-CN"/>
              </w:rPr>
              <w:t>15%</w:t>
            </w:r>
          </w:p>
          <w:p w14:paraId="2548EABF" w14:textId="1802A509" w:rsidR="006B121A" w:rsidRPr="00F62516" w:rsidRDefault="006B121A" w:rsidP="006B121A">
            <w:pPr>
              <w:snapToGrid w:val="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2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存在上下游关系的参与集中的经营者，在上下游市场所占的份额均小于</w:t>
            </w:r>
            <w:r w:rsidRPr="00F62516">
              <w:rPr>
                <w:sz w:val="22"/>
                <w:szCs w:val="22"/>
                <w:lang w:eastAsia="zh-CN"/>
              </w:rPr>
              <w:t>25%</w:t>
            </w:r>
          </w:p>
          <w:p w14:paraId="79627202" w14:textId="6DB6DCA5" w:rsidR="006B121A" w:rsidRPr="00F62516" w:rsidRDefault="006B121A" w:rsidP="006B121A">
            <w:pPr>
              <w:snapToGrid w:val="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3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不存在上下游关系的参与集中的经营者，在每个市场所占的份额均小于</w:t>
            </w:r>
            <w:r w:rsidRPr="00F62516">
              <w:rPr>
                <w:sz w:val="22"/>
                <w:szCs w:val="22"/>
                <w:lang w:eastAsia="zh-CN"/>
              </w:rPr>
              <w:t>25%</w:t>
            </w:r>
          </w:p>
          <w:p w14:paraId="50BCA1A6" w14:textId="556B2459" w:rsidR="006B121A" w:rsidRPr="00F62516" w:rsidRDefault="006B121A" w:rsidP="006B121A">
            <w:pPr>
              <w:snapToGrid w:val="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4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参与集中的经营者在中国境外设立合营企业，合营企业不在中国境内从事经济活动</w:t>
            </w:r>
          </w:p>
          <w:p w14:paraId="6F923EEF" w14:textId="2D510F8B" w:rsidR="006B121A" w:rsidRPr="00F62516" w:rsidRDefault="001371B8" w:rsidP="006B121A">
            <w:pPr>
              <w:snapToGrid w:val="0"/>
              <w:rPr>
                <w:sz w:val="22"/>
                <w:szCs w:val="22"/>
                <w:lang w:eastAsia="zh-CN"/>
              </w:rPr>
            </w:pPr>
            <w:r w:rsidRPr="00F62516">
              <w:rPr>
                <w:rFonts w:eastAsia="黑体"/>
                <w:sz w:val="22"/>
                <w:szCs w:val="22"/>
              </w:rPr>
              <w:sym w:font="Wingdings" w:char="F0FE"/>
            </w:r>
            <w:r w:rsidR="006B121A" w:rsidRPr="00F62516">
              <w:rPr>
                <w:sz w:val="22"/>
                <w:szCs w:val="22"/>
                <w:lang w:eastAsia="zh-CN"/>
              </w:rPr>
              <w:t xml:space="preserve"> </w:t>
            </w:r>
            <w:r w:rsidR="006B121A">
              <w:rPr>
                <w:rFonts w:hint="eastAsia"/>
                <w:sz w:val="22"/>
                <w:szCs w:val="22"/>
                <w:lang w:eastAsia="zh-CN"/>
              </w:rPr>
              <w:t>5</w:t>
            </w:r>
            <w:r w:rsidR="006B121A"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="006B121A" w:rsidRPr="00F62516">
              <w:rPr>
                <w:sz w:val="22"/>
                <w:szCs w:val="22"/>
                <w:lang w:eastAsia="zh-CN"/>
              </w:rPr>
              <w:t>参与集中的经营者收购境外企业股权或资产，该境外企业不在中国境内从事经济活动</w:t>
            </w:r>
          </w:p>
          <w:p w14:paraId="58854AAA" w14:textId="39CF43FB" w:rsidR="006B121A" w:rsidRPr="00F62516" w:rsidRDefault="006B121A" w:rsidP="006B121A">
            <w:pPr>
              <w:snapToGrid w:val="0"/>
              <w:rPr>
                <w:sz w:val="22"/>
                <w:szCs w:val="22"/>
                <w:lang w:eastAsia="zh-CN"/>
              </w:rPr>
            </w:pPr>
            <w:r w:rsidRPr="00F62516">
              <w:rPr>
                <w:sz w:val="22"/>
                <w:szCs w:val="22"/>
              </w:rPr>
              <w:sym w:font="Wingdings" w:char="F0A8"/>
            </w:r>
            <w:r w:rsidRPr="00F62516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6</w:t>
            </w:r>
            <w:r>
              <w:rPr>
                <w:rFonts w:hint="eastAsia"/>
                <w:sz w:val="22"/>
                <w:szCs w:val="22"/>
                <w:lang w:eastAsia="zh-CN"/>
              </w:rPr>
              <w:t>、</w:t>
            </w:r>
            <w:r w:rsidRPr="00F62516">
              <w:rPr>
                <w:sz w:val="22"/>
                <w:szCs w:val="22"/>
                <w:lang w:eastAsia="zh-CN"/>
              </w:rPr>
              <w:t>由两个以上经营者共同控制的合营企业，通过集中被其中一个或一个以上经营者控制</w:t>
            </w:r>
          </w:p>
          <w:p w14:paraId="49D3A994" w14:textId="033EFC65" w:rsidR="00DF1EE8" w:rsidRPr="006B121A" w:rsidRDefault="00DF1EE8" w:rsidP="00DF1EE8">
            <w:pPr>
              <w:spacing w:beforeLines="50" w:before="120" w:afterLines="50" w:after="120" w:line="240" w:lineRule="auto"/>
              <w:jc w:val="both"/>
              <w:rPr>
                <w:lang w:eastAsia="zh-CN"/>
              </w:rPr>
            </w:pPr>
          </w:p>
        </w:tc>
      </w:tr>
      <w:tr w:rsidR="00DF1EE8" w:rsidRPr="007142ED" w14:paraId="435C9145" w14:textId="77777777" w:rsidTr="003133B2">
        <w:tc>
          <w:tcPr>
            <w:tcW w:w="3227" w:type="dxa"/>
            <w:shd w:val="clear" w:color="auto" w:fill="auto"/>
          </w:tcPr>
          <w:p w14:paraId="7E7A09D8" w14:textId="623C0EDA" w:rsidR="00DF1EE8" w:rsidRPr="00423ACE" w:rsidRDefault="00DF1EE8" w:rsidP="00DF1EE8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  <w:lang w:eastAsia="zh-CN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D1BECE9" w14:textId="369AD623" w:rsidR="00FF5C2D" w:rsidRPr="00B67880" w:rsidRDefault="000753BD" w:rsidP="000753BD">
            <w:pPr>
              <w:spacing w:beforeLines="50" w:before="120" w:afterLines="50" w:after="120" w:line="240" w:lineRule="auto"/>
              <w:jc w:val="both"/>
              <w:rPr>
                <w:sz w:val="22"/>
                <w:szCs w:val="22"/>
                <w:lang w:eastAsia="zh-CN"/>
              </w:rPr>
            </w:pPr>
            <w:r w:rsidRPr="00B67880">
              <w:rPr>
                <w:rFonts w:hint="eastAsia"/>
                <w:sz w:val="22"/>
                <w:szCs w:val="22"/>
                <w:lang w:eastAsia="zh-CN"/>
              </w:rPr>
              <w:t>不适用</w:t>
            </w:r>
          </w:p>
        </w:tc>
      </w:tr>
    </w:tbl>
    <w:p w14:paraId="513DC9C0" w14:textId="77777777" w:rsidR="00167EDF" w:rsidRPr="00423ACE" w:rsidRDefault="00167EDF" w:rsidP="00766E70">
      <w:pPr>
        <w:rPr>
          <w:rFonts w:cs="Arial"/>
          <w:sz w:val="24"/>
          <w:szCs w:val="24"/>
          <w:lang w:eastAsia="zh-CN"/>
        </w:rPr>
      </w:pPr>
    </w:p>
    <w:sectPr w:rsidR="00167EDF" w:rsidRPr="00423ACE" w:rsidSect="009B74E2">
      <w:headerReference w:type="default" r:id="rId8"/>
      <w:pgSz w:w="11907" w:h="16840" w:code="9"/>
      <w:pgMar w:top="1418" w:right="1701" w:bottom="1418" w:left="1701" w:header="720" w:footer="720" w:gutter="0"/>
      <w:paperSrc w:first="14" w:other="14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F66A76" w14:textId="77777777" w:rsidR="00FB6AB6" w:rsidRDefault="00FB6AB6">
      <w:r>
        <w:separator/>
      </w:r>
    </w:p>
  </w:endnote>
  <w:endnote w:type="continuationSeparator" w:id="0">
    <w:p w14:paraId="4B24FF32" w14:textId="77777777" w:rsidR="00FB6AB6" w:rsidRDefault="00FB6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22E156" w14:textId="77777777" w:rsidR="00FB6AB6" w:rsidRDefault="00FB6AB6">
      <w:pPr>
        <w:pBdr>
          <w:bottom w:val="single" w:sz="4" w:space="1" w:color="auto"/>
        </w:pBdr>
      </w:pPr>
    </w:p>
  </w:footnote>
  <w:footnote w:type="continuationSeparator" w:id="0">
    <w:p w14:paraId="7A489F3A" w14:textId="77777777" w:rsidR="00FB6AB6" w:rsidRDefault="00FB6AB6">
      <w:r>
        <w:continuationSeparator/>
      </w:r>
    </w:p>
  </w:footnote>
  <w:footnote w:type="continuationNotice" w:id="1">
    <w:p w14:paraId="6A676174" w14:textId="77777777" w:rsidR="00FB6AB6" w:rsidRDefault="00FB6AB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9EB89E" w14:textId="77777777" w:rsidR="00336DE3" w:rsidRDefault="00336DE3" w:rsidP="00CB3F1A">
    <w:pPr>
      <w:pStyle w:val="a4"/>
      <w:jc w:val="center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67688D">
      <w:rPr>
        <w:rStyle w:val="a6"/>
        <w:noProof/>
      </w:rPr>
      <w:t>2</w:t>
    </w:r>
    <w:r>
      <w:rPr>
        <w:rStyle w:val="a6"/>
      </w:rPr>
      <w:fldChar w:fldCharType="end"/>
    </w:r>
    <w:r>
      <w:rPr>
        <w:rStyle w:val="a6"/>
      </w:rP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60A9CEE"/>
    <w:lvl w:ilvl="0">
      <w:start w:val="1"/>
      <w:numFmt w:val="decimal"/>
      <w:pStyle w:val="1"/>
      <w:lvlText w:val="%1."/>
      <w:lvlJc w:val="left"/>
      <w:pPr>
        <w:tabs>
          <w:tab w:val="num" w:pos="709"/>
        </w:tabs>
        <w:ind w:left="709" w:hanging="708"/>
      </w:p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hanging="708"/>
      </w:pPr>
    </w:lvl>
    <w:lvl w:ilvl="2">
      <w:start w:val="1"/>
      <w:numFmt w:val="upperLetter"/>
      <w:pStyle w:val="3"/>
      <w:lvlText w:val="(%3)"/>
      <w:lvlJc w:val="left"/>
      <w:pPr>
        <w:tabs>
          <w:tab w:val="num" w:pos="1418"/>
        </w:tabs>
        <w:ind w:left="1418" w:hanging="708"/>
      </w:pPr>
    </w:lvl>
    <w:lvl w:ilvl="3">
      <w:start w:val="1"/>
      <w:numFmt w:val="lowerRoman"/>
      <w:pStyle w:val="4"/>
      <w:lvlText w:val="(%4)"/>
      <w:lvlJc w:val="left"/>
      <w:pPr>
        <w:tabs>
          <w:tab w:val="num" w:pos="2138"/>
        </w:tabs>
        <w:ind w:left="2126" w:hanging="708"/>
      </w:pPr>
    </w:lvl>
    <w:lvl w:ilvl="4">
      <w:start w:val="1"/>
      <w:numFmt w:val="lowerLetter"/>
      <w:pStyle w:val="5"/>
      <w:lvlText w:val="(%5)"/>
      <w:lvlJc w:val="left"/>
      <w:pPr>
        <w:tabs>
          <w:tab w:val="num" w:pos="2835"/>
        </w:tabs>
        <w:ind w:left="2835" w:hanging="708"/>
      </w:pPr>
    </w:lvl>
    <w:lvl w:ilvl="5">
      <w:start w:val="1"/>
      <w:numFmt w:val="decimal"/>
      <w:pStyle w:val="6"/>
      <w:lvlText w:val="(%6)"/>
      <w:lvlJc w:val="left"/>
      <w:pPr>
        <w:tabs>
          <w:tab w:val="num" w:pos="3544"/>
        </w:tabs>
        <w:ind w:left="3544" w:hanging="708"/>
      </w:pPr>
    </w:lvl>
    <w:lvl w:ilvl="6">
      <w:start w:val="1"/>
      <w:numFmt w:val="upperLetter"/>
      <w:pStyle w:val="7"/>
      <w:lvlText w:val="(%7)"/>
      <w:lvlJc w:val="left"/>
      <w:pPr>
        <w:tabs>
          <w:tab w:val="num" w:pos="4253"/>
        </w:tabs>
        <w:ind w:left="4253" w:hanging="708"/>
      </w:pPr>
    </w:lvl>
    <w:lvl w:ilvl="7">
      <w:start w:val="1"/>
      <w:numFmt w:val="decimal"/>
      <w:pStyle w:val="8"/>
      <w:lvlText w:val="(%8)"/>
      <w:lvlJc w:val="left"/>
      <w:pPr>
        <w:tabs>
          <w:tab w:val="num" w:pos="4961"/>
        </w:tabs>
        <w:ind w:left="4961" w:hanging="708"/>
      </w:pPr>
    </w:lvl>
    <w:lvl w:ilvl="8">
      <w:start w:val="1"/>
      <w:numFmt w:val="lowerRoman"/>
      <w:pStyle w:val="9"/>
      <w:lvlText w:val="(%9)"/>
      <w:lvlJc w:val="left"/>
      <w:pPr>
        <w:tabs>
          <w:tab w:val="num" w:pos="5682"/>
        </w:tabs>
        <w:ind w:left="5670" w:hanging="708"/>
      </w:pPr>
    </w:lvl>
  </w:abstractNum>
  <w:abstractNum w:abstractNumId="1" w15:restartNumberingAfterBreak="0">
    <w:nsid w:val="281E4F3F"/>
    <w:multiLevelType w:val="hybridMultilevel"/>
    <w:tmpl w:val="BC48CAA8"/>
    <w:lvl w:ilvl="0" w:tplc="7B6431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F244E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0E6C4F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400D7F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998A2B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DAB4DFD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B7A147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39A19D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9558DEB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A11E69"/>
    <w:multiLevelType w:val="multilevel"/>
    <w:tmpl w:val="FFFFFFFF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709" w:hanging="708"/>
      </w:pPr>
    </w:lvl>
    <w:lvl w:ilvl="2">
      <w:start w:val="1"/>
      <w:numFmt w:val="upperLetter"/>
      <w:lvlText w:val="(%3)"/>
      <w:legacy w:legacy="1" w:legacySpace="0" w:legacyIndent="708"/>
      <w:lvlJc w:val="left"/>
      <w:pPr>
        <w:ind w:left="1418" w:hanging="708"/>
      </w:pPr>
    </w:lvl>
    <w:lvl w:ilvl="3">
      <w:start w:val="1"/>
      <w:numFmt w:val="lowerRoman"/>
      <w:lvlText w:val="(%4)"/>
      <w:legacy w:legacy="1" w:legacySpace="0" w:legacyIndent="708"/>
      <w:lvlJc w:val="left"/>
      <w:pPr>
        <w:ind w:left="2126" w:hanging="708"/>
      </w:pPr>
    </w:lvl>
    <w:lvl w:ilvl="4">
      <w:start w:val="1"/>
      <w:numFmt w:val="lowerLetter"/>
      <w:lvlText w:val="(%5)"/>
      <w:legacy w:legacy="1" w:legacySpace="0" w:legacyIndent="708"/>
      <w:lvlJc w:val="left"/>
      <w:pPr>
        <w:ind w:left="2835" w:hanging="708"/>
      </w:pPr>
    </w:lvl>
    <w:lvl w:ilvl="5">
      <w:start w:val="1"/>
      <w:numFmt w:val="decimal"/>
      <w:lvlText w:val="(%6)"/>
      <w:legacy w:legacy="1" w:legacySpace="0" w:legacyIndent="708"/>
      <w:lvlJc w:val="left"/>
      <w:pPr>
        <w:ind w:left="3544" w:hanging="708"/>
      </w:pPr>
    </w:lvl>
    <w:lvl w:ilvl="6">
      <w:start w:val="1"/>
      <w:numFmt w:val="upperLetter"/>
      <w:lvlText w:val="(%7)"/>
      <w:legacy w:legacy="1" w:legacySpace="0" w:legacyIndent="708"/>
      <w:lvlJc w:val="left"/>
      <w:pPr>
        <w:ind w:left="4253" w:hanging="708"/>
      </w:pPr>
    </w:lvl>
    <w:lvl w:ilvl="7">
      <w:start w:val="1"/>
      <w:numFmt w:val="decimal"/>
      <w:lvlText w:val="(%8)"/>
      <w:legacy w:legacy="1" w:legacySpace="0" w:legacyIndent="708"/>
      <w:lvlJc w:val="left"/>
      <w:pPr>
        <w:ind w:left="4961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670" w:hanging="708"/>
      </w:pPr>
    </w:lvl>
  </w:abstractNum>
  <w:abstractNum w:abstractNumId="3" w15:restartNumberingAfterBreak="0">
    <w:nsid w:val="345A31B5"/>
    <w:multiLevelType w:val="hybridMultilevel"/>
    <w:tmpl w:val="56100502"/>
    <w:lvl w:ilvl="0" w:tplc="8A988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A9E46AE" w:tentative="1">
      <w:start w:val="1"/>
      <w:numFmt w:val="lowerLetter"/>
      <w:lvlText w:val="%2)"/>
      <w:lvlJc w:val="left"/>
      <w:pPr>
        <w:ind w:left="840" w:hanging="420"/>
      </w:pPr>
    </w:lvl>
    <w:lvl w:ilvl="2" w:tplc="00064280" w:tentative="1">
      <w:start w:val="1"/>
      <w:numFmt w:val="lowerRoman"/>
      <w:lvlText w:val="%3."/>
      <w:lvlJc w:val="right"/>
      <w:pPr>
        <w:ind w:left="1260" w:hanging="420"/>
      </w:pPr>
    </w:lvl>
    <w:lvl w:ilvl="3" w:tplc="AE5A5BD8" w:tentative="1">
      <w:start w:val="1"/>
      <w:numFmt w:val="decimal"/>
      <w:lvlText w:val="%4."/>
      <w:lvlJc w:val="left"/>
      <w:pPr>
        <w:ind w:left="1680" w:hanging="420"/>
      </w:pPr>
    </w:lvl>
    <w:lvl w:ilvl="4" w:tplc="EFCAB466" w:tentative="1">
      <w:start w:val="1"/>
      <w:numFmt w:val="lowerLetter"/>
      <w:lvlText w:val="%5)"/>
      <w:lvlJc w:val="left"/>
      <w:pPr>
        <w:ind w:left="2100" w:hanging="420"/>
      </w:pPr>
    </w:lvl>
    <w:lvl w:ilvl="5" w:tplc="4D66A746" w:tentative="1">
      <w:start w:val="1"/>
      <w:numFmt w:val="lowerRoman"/>
      <w:lvlText w:val="%6."/>
      <w:lvlJc w:val="right"/>
      <w:pPr>
        <w:ind w:left="2520" w:hanging="420"/>
      </w:pPr>
    </w:lvl>
    <w:lvl w:ilvl="6" w:tplc="BDDADFE4" w:tentative="1">
      <w:start w:val="1"/>
      <w:numFmt w:val="decimal"/>
      <w:lvlText w:val="%7."/>
      <w:lvlJc w:val="left"/>
      <w:pPr>
        <w:ind w:left="2940" w:hanging="420"/>
      </w:pPr>
    </w:lvl>
    <w:lvl w:ilvl="7" w:tplc="B5E49FB0" w:tentative="1">
      <w:start w:val="1"/>
      <w:numFmt w:val="lowerLetter"/>
      <w:lvlText w:val="%8)"/>
      <w:lvlJc w:val="left"/>
      <w:pPr>
        <w:ind w:left="3360" w:hanging="420"/>
      </w:pPr>
    </w:lvl>
    <w:lvl w:ilvl="8" w:tplc="C1EC1CC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2B7B4C"/>
    <w:multiLevelType w:val="hybridMultilevel"/>
    <w:tmpl w:val="CF8E0F38"/>
    <w:lvl w:ilvl="0" w:tplc="65A61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F0E37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B90BF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6C81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F420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56A8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F649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68AD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BE6A6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ED2D20"/>
    <w:multiLevelType w:val="hybridMultilevel"/>
    <w:tmpl w:val="B12A496E"/>
    <w:lvl w:ilvl="0" w:tplc="83C245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C8263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01691D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2F8C6F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CFC0B35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EFC2872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123268C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05CB52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64E88F9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4"/>
  </w:num>
  <w:num w:numId="14">
    <w:abstractNumId w:val="1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455"/>
    <w:rsid w:val="00002B77"/>
    <w:rsid w:val="00013A22"/>
    <w:rsid w:val="000254F8"/>
    <w:rsid w:val="00044EAF"/>
    <w:rsid w:val="00067260"/>
    <w:rsid w:val="000753BD"/>
    <w:rsid w:val="000C35F1"/>
    <w:rsid w:val="000D5277"/>
    <w:rsid w:val="00102734"/>
    <w:rsid w:val="00102E0B"/>
    <w:rsid w:val="00110DB7"/>
    <w:rsid w:val="001124DD"/>
    <w:rsid w:val="00117EBB"/>
    <w:rsid w:val="00125010"/>
    <w:rsid w:val="001371B8"/>
    <w:rsid w:val="00155BF4"/>
    <w:rsid w:val="0016367F"/>
    <w:rsid w:val="00163D2D"/>
    <w:rsid w:val="00167EDF"/>
    <w:rsid w:val="00172C07"/>
    <w:rsid w:val="0018574E"/>
    <w:rsid w:val="0019348E"/>
    <w:rsid w:val="001A0845"/>
    <w:rsid w:val="001A4C81"/>
    <w:rsid w:val="001B2EA3"/>
    <w:rsid w:val="001B5575"/>
    <w:rsid w:val="001E10CF"/>
    <w:rsid w:val="001E286E"/>
    <w:rsid w:val="001E3161"/>
    <w:rsid w:val="001E6FC5"/>
    <w:rsid w:val="001F68AC"/>
    <w:rsid w:val="002036D8"/>
    <w:rsid w:val="00206EE8"/>
    <w:rsid w:val="002242B9"/>
    <w:rsid w:val="0024750B"/>
    <w:rsid w:val="002536C7"/>
    <w:rsid w:val="002749CF"/>
    <w:rsid w:val="0029210B"/>
    <w:rsid w:val="002960CC"/>
    <w:rsid w:val="002A2045"/>
    <w:rsid w:val="002A3174"/>
    <w:rsid w:val="002B5A44"/>
    <w:rsid w:val="002C4801"/>
    <w:rsid w:val="002E62C6"/>
    <w:rsid w:val="002F3201"/>
    <w:rsid w:val="0030622A"/>
    <w:rsid w:val="00306E67"/>
    <w:rsid w:val="00315C6F"/>
    <w:rsid w:val="003229BB"/>
    <w:rsid w:val="003345B0"/>
    <w:rsid w:val="00336DE3"/>
    <w:rsid w:val="00341AC8"/>
    <w:rsid w:val="003434A6"/>
    <w:rsid w:val="00343CA9"/>
    <w:rsid w:val="0035139C"/>
    <w:rsid w:val="00353A44"/>
    <w:rsid w:val="00370E26"/>
    <w:rsid w:val="003772F8"/>
    <w:rsid w:val="00385AC1"/>
    <w:rsid w:val="00393972"/>
    <w:rsid w:val="003A5040"/>
    <w:rsid w:val="003A624D"/>
    <w:rsid w:val="003D136C"/>
    <w:rsid w:val="003F0943"/>
    <w:rsid w:val="00423ACE"/>
    <w:rsid w:val="004263CE"/>
    <w:rsid w:val="00427FE6"/>
    <w:rsid w:val="00443817"/>
    <w:rsid w:val="00463450"/>
    <w:rsid w:val="00464080"/>
    <w:rsid w:val="00484914"/>
    <w:rsid w:val="00485542"/>
    <w:rsid w:val="004934BC"/>
    <w:rsid w:val="004A5CA4"/>
    <w:rsid w:val="004A73E2"/>
    <w:rsid w:val="004E125F"/>
    <w:rsid w:val="00500B01"/>
    <w:rsid w:val="00537287"/>
    <w:rsid w:val="00555E32"/>
    <w:rsid w:val="00571870"/>
    <w:rsid w:val="00573956"/>
    <w:rsid w:val="00580DC8"/>
    <w:rsid w:val="00581CA9"/>
    <w:rsid w:val="005944DA"/>
    <w:rsid w:val="005C2443"/>
    <w:rsid w:val="005D6BC7"/>
    <w:rsid w:val="005D7226"/>
    <w:rsid w:val="005E2DC1"/>
    <w:rsid w:val="005F0358"/>
    <w:rsid w:val="0060033F"/>
    <w:rsid w:val="0062070B"/>
    <w:rsid w:val="006250FA"/>
    <w:rsid w:val="006418F3"/>
    <w:rsid w:val="00655D50"/>
    <w:rsid w:val="00663BEE"/>
    <w:rsid w:val="0067688D"/>
    <w:rsid w:val="006874AB"/>
    <w:rsid w:val="006A4908"/>
    <w:rsid w:val="006B121A"/>
    <w:rsid w:val="006B24FE"/>
    <w:rsid w:val="006E3057"/>
    <w:rsid w:val="006E6DCB"/>
    <w:rsid w:val="006F0969"/>
    <w:rsid w:val="007020D4"/>
    <w:rsid w:val="00702DB8"/>
    <w:rsid w:val="007111CE"/>
    <w:rsid w:val="007142ED"/>
    <w:rsid w:val="00743C49"/>
    <w:rsid w:val="00744AF9"/>
    <w:rsid w:val="00752DAE"/>
    <w:rsid w:val="00757CBA"/>
    <w:rsid w:val="00766E70"/>
    <w:rsid w:val="00770A04"/>
    <w:rsid w:val="007715DB"/>
    <w:rsid w:val="00774F76"/>
    <w:rsid w:val="007873B2"/>
    <w:rsid w:val="0079241E"/>
    <w:rsid w:val="007A0615"/>
    <w:rsid w:val="007A28E6"/>
    <w:rsid w:val="007B477D"/>
    <w:rsid w:val="007D2324"/>
    <w:rsid w:val="007F52FE"/>
    <w:rsid w:val="008169FE"/>
    <w:rsid w:val="00821F80"/>
    <w:rsid w:val="00831CC6"/>
    <w:rsid w:val="00836852"/>
    <w:rsid w:val="008452B9"/>
    <w:rsid w:val="0085169F"/>
    <w:rsid w:val="00855816"/>
    <w:rsid w:val="008738F0"/>
    <w:rsid w:val="00875665"/>
    <w:rsid w:val="0088653D"/>
    <w:rsid w:val="008B1455"/>
    <w:rsid w:val="008B3E44"/>
    <w:rsid w:val="008C50B1"/>
    <w:rsid w:val="008D0F5F"/>
    <w:rsid w:val="008D52BF"/>
    <w:rsid w:val="008D57B7"/>
    <w:rsid w:val="008E2FFC"/>
    <w:rsid w:val="008E3164"/>
    <w:rsid w:val="008E31D0"/>
    <w:rsid w:val="008E6EAC"/>
    <w:rsid w:val="00902224"/>
    <w:rsid w:val="009310B8"/>
    <w:rsid w:val="009331D0"/>
    <w:rsid w:val="00935F79"/>
    <w:rsid w:val="00972883"/>
    <w:rsid w:val="009773DA"/>
    <w:rsid w:val="009A52B4"/>
    <w:rsid w:val="009A611F"/>
    <w:rsid w:val="009A7430"/>
    <w:rsid w:val="009B41D4"/>
    <w:rsid w:val="009B74E2"/>
    <w:rsid w:val="009E14BC"/>
    <w:rsid w:val="00A06017"/>
    <w:rsid w:val="00A073C8"/>
    <w:rsid w:val="00A20DC9"/>
    <w:rsid w:val="00A26A80"/>
    <w:rsid w:val="00A42F82"/>
    <w:rsid w:val="00A511E6"/>
    <w:rsid w:val="00A54B9C"/>
    <w:rsid w:val="00A5788B"/>
    <w:rsid w:val="00A75E31"/>
    <w:rsid w:val="00A80F16"/>
    <w:rsid w:val="00A8134F"/>
    <w:rsid w:val="00AB02B4"/>
    <w:rsid w:val="00AC0C62"/>
    <w:rsid w:val="00AC132B"/>
    <w:rsid w:val="00AC2122"/>
    <w:rsid w:val="00AC22F8"/>
    <w:rsid w:val="00AF2EDA"/>
    <w:rsid w:val="00AF5C53"/>
    <w:rsid w:val="00B06E44"/>
    <w:rsid w:val="00B10EFB"/>
    <w:rsid w:val="00B222A4"/>
    <w:rsid w:val="00B2402F"/>
    <w:rsid w:val="00B4214A"/>
    <w:rsid w:val="00B54EE7"/>
    <w:rsid w:val="00B61C80"/>
    <w:rsid w:val="00B661BA"/>
    <w:rsid w:val="00B66FCA"/>
    <w:rsid w:val="00B67880"/>
    <w:rsid w:val="00B779E5"/>
    <w:rsid w:val="00B813E7"/>
    <w:rsid w:val="00B83687"/>
    <w:rsid w:val="00BC1EEB"/>
    <w:rsid w:val="00BD2A48"/>
    <w:rsid w:val="00BF6299"/>
    <w:rsid w:val="00C07616"/>
    <w:rsid w:val="00C176D1"/>
    <w:rsid w:val="00C27C60"/>
    <w:rsid w:val="00C27F53"/>
    <w:rsid w:val="00C32D2D"/>
    <w:rsid w:val="00C349E3"/>
    <w:rsid w:val="00C437C6"/>
    <w:rsid w:val="00C4516E"/>
    <w:rsid w:val="00C56CE9"/>
    <w:rsid w:val="00C82883"/>
    <w:rsid w:val="00C83F6D"/>
    <w:rsid w:val="00C84112"/>
    <w:rsid w:val="00C934A4"/>
    <w:rsid w:val="00CB3F1A"/>
    <w:rsid w:val="00CD7C06"/>
    <w:rsid w:val="00CF231B"/>
    <w:rsid w:val="00D03009"/>
    <w:rsid w:val="00D331B7"/>
    <w:rsid w:val="00D4249F"/>
    <w:rsid w:val="00D63C95"/>
    <w:rsid w:val="00D657EE"/>
    <w:rsid w:val="00D72F86"/>
    <w:rsid w:val="00D76A5A"/>
    <w:rsid w:val="00DA17CB"/>
    <w:rsid w:val="00DA1C94"/>
    <w:rsid w:val="00DB008A"/>
    <w:rsid w:val="00DB539A"/>
    <w:rsid w:val="00DC7ECE"/>
    <w:rsid w:val="00DD6DBA"/>
    <w:rsid w:val="00DD7F7D"/>
    <w:rsid w:val="00DF1EE8"/>
    <w:rsid w:val="00DF57EC"/>
    <w:rsid w:val="00E207E2"/>
    <w:rsid w:val="00E218D5"/>
    <w:rsid w:val="00E47834"/>
    <w:rsid w:val="00E64481"/>
    <w:rsid w:val="00E66C67"/>
    <w:rsid w:val="00E75609"/>
    <w:rsid w:val="00E77FDF"/>
    <w:rsid w:val="00E80A24"/>
    <w:rsid w:val="00E81FCA"/>
    <w:rsid w:val="00E85E98"/>
    <w:rsid w:val="00E912BA"/>
    <w:rsid w:val="00E96ACC"/>
    <w:rsid w:val="00EA01C8"/>
    <w:rsid w:val="00ED20D9"/>
    <w:rsid w:val="00ED3C50"/>
    <w:rsid w:val="00ED7C6A"/>
    <w:rsid w:val="00EE5ADB"/>
    <w:rsid w:val="00F049C3"/>
    <w:rsid w:val="00F10B69"/>
    <w:rsid w:val="00F11315"/>
    <w:rsid w:val="00F44EAD"/>
    <w:rsid w:val="00F54D89"/>
    <w:rsid w:val="00F57DC9"/>
    <w:rsid w:val="00F7018C"/>
    <w:rsid w:val="00F76902"/>
    <w:rsid w:val="00F82F6D"/>
    <w:rsid w:val="00F85958"/>
    <w:rsid w:val="00F87F29"/>
    <w:rsid w:val="00F933E5"/>
    <w:rsid w:val="00F961A5"/>
    <w:rsid w:val="00FB0C91"/>
    <w:rsid w:val="00FB6AB6"/>
    <w:rsid w:val="00FC00DF"/>
    <w:rsid w:val="00FC7F01"/>
    <w:rsid w:val="00FE479C"/>
    <w:rsid w:val="00FF0055"/>
    <w:rsid w:val="00F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3C05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2B9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hAnsi="Arial"/>
      <w:kern w:val="16"/>
      <w:lang w:val="en-GB" w:eastAsia="en-US"/>
    </w:rPr>
  </w:style>
  <w:style w:type="paragraph" w:styleId="1">
    <w:name w:val="heading 1"/>
    <w:basedOn w:val="a"/>
    <w:next w:val="a"/>
    <w:qFormat/>
    <w:rsid w:val="008B1455"/>
    <w:pPr>
      <w:numPr>
        <w:numId w:val="2"/>
      </w:numPr>
      <w:ind w:hanging="709"/>
      <w:outlineLvl w:val="0"/>
    </w:pPr>
  </w:style>
  <w:style w:type="paragraph" w:styleId="2">
    <w:name w:val="heading 2"/>
    <w:basedOn w:val="a"/>
    <w:next w:val="a"/>
    <w:qFormat/>
    <w:rsid w:val="008B1455"/>
    <w:pPr>
      <w:numPr>
        <w:ilvl w:val="1"/>
        <w:numId w:val="2"/>
      </w:numPr>
      <w:outlineLvl w:val="1"/>
    </w:pPr>
  </w:style>
  <w:style w:type="paragraph" w:styleId="3">
    <w:name w:val="heading 3"/>
    <w:basedOn w:val="a"/>
    <w:next w:val="a"/>
    <w:qFormat/>
    <w:rsid w:val="008B1455"/>
    <w:pPr>
      <w:numPr>
        <w:ilvl w:val="2"/>
        <w:numId w:val="2"/>
      </w:numPr>
      <w:tabs>
        <w:tab w:val="clear" w:pos="709"/>
      </w:tabs>
      <w:outlineLvl w:val="2"/>
    </w:pPr>
  </w:style>
  <w:style w:type="paragraph" w:styleId="4">
    <w:name w:val="heading 4"/>
    <w:basedOn w:val="a"/>
    <w:next w:val="a"/>
    <w:qFormat/>
    <w:rsid w:val="008B1455"/>
    <w:pPr>
      <w:numPr>
        <w:ilvl w:val="3"/>
        <w:numId w:val="2"/>
      </w:numPr>
      <w:tabs>
        <w:tab w:val="clear" w:pos="709"/>
        <w:tab w:val="clear" w:pos="2138"/>
        <w:tab w:val="left" w:pos="2126"/>
      </w:tabs>
      <w:outlineLvl w:val="3"/>
    </w:pPr>
  </w:style>
  <w:style w:type="paragraph" w:styleId="5">
    <w:name w:val="heading 5"/>
    <w:basedOn w:val="a"/>
    <w:next w:val="a"/>
    <w:qFormat/>
    <w:rsid w:val="008B1455"/>
    <w:pPr>
      <w:numPr>
        <w:ilvl w:val="4"/>
        <w:numId w:val="2"/>
      </w:numPr>
      <w:tabs>
        <w:tab w:val="clear" w:pos="709"/>
      </w:tabs>
      <w:outlineLvl w:val="4"/>
    </w:pPr>
  </w:style>
  <w:style w:type="paragraph" w:styleId="6">
    <w:name w:val="heading 6"/>
    <w:basedOn w:val="a"/>
    <w:next w:val="a"/>
    <w:qFormat/>
    <w:rsid w:val="008B1455"/>
    <w:pPr>
      <w:numPr>
        <w:ilvl w:val="5"/>
        <w:numId w:val="2"/>
      </w:numPr>
      <w:tabs>
        <w:tab w:val="clear" w:pos="709"/>
      </w:tabs>
      <w:outlineLvl w:val="5"/>
    </w:pPr>
  </w:style>
  <w:style w:type="paragraph" w:styleId="7">
    <w:name w:val="heading 7"/>
    <w:basedOn w:val="a"/>
    <w:next w:val="a"/>
    <w:qFormat/>
    <w:rsid w:val="008B1455"/>
    <w:pPr>
      <w:numPr>
        <w:ilvl w:val="6"/>
        <w:numId w:val="2"/>
      </w:numPr>
      <w:tabs>
        <w:tab w:val="clear" w:pos="709"/>
      </w:tabs>
      <w:outlineLvl w:val="6"/>
    </w:pPr>
  </w:style>
  <w:style w:type="paragraph" w:styleId="8">
    <w:name w:val="heading 8"/>
    <w:basedOn w:val="a"/>
    <w:next w:val="a"/>
    <w:qFormat/>
    <w:rsid w:val="008B1455"/>
    <w:pPr>
      <w:numPr>
        <w:ilvl w:val="7"/>
        <w:numId w:val="2"/>
      </w:numPr>
      <w:tabs>
        <w:tab w:val="clear" w:pos="709"/>
      </w:tabs>
      <w:outlineLvl w:val="7"/>
    </w:pPr>
  </w:style>
  <w:style w:type="paragraph" w:styleId="9">
    <w:name w:val="heading 9"/>
    <w:basedOn w:val="a"/>
    <w:next w:val="a"/>
    <w:qFormat/>
    <w:rsid w:val="008B1455"/>
    <w:pPr>
      <w:numPr>
        <w:ilvl w:val="8"/>
        <w:numId w:val="2"/>
      </w:numPr>
      <w:tabs>
        <w:tab w:val="clear" w:pos="709"/>
        <w:tab w:val="clear" w:pos="5682"/>
        <w:tab w:val="right" w:pos="5670"/>
      </w:tabs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ontSheet">
    <w:name w:val="FrontSheet"/>
    <w:basedOn w:val="a"/>
    <w:rsid w:val="007D2324"/>
  </w:style>
  <w:style w:type="paragraph" w:styleId="a3">
    <w:name w:val="caption"/>
    <w:basedOn w:val="a"/>
    <w:next w:val="a"/>
    <w:qFormat/>
    <w:rsid w:val="007D2324"/>
    <w:pPr>
      <w:keepNext/>
    </w:pPr>
    <w:rPr>
      <w:b/>
    </w:rPr>
  </w:style>
  <w:style w:type="paragraph" w:styleId="a4">
    <w:name w:val="header"/>
    <w:basedOn w:val="a"/>
    <w:rsid w:val="007D2324"/>
    <w:pPr>
      <w:tabs>
        <w:tab w:val="clear" w:pos="709"/>
        <w:tab w:val="center" w:pos="4253"/>
      </w:tabs>
    </w:pPr>
  </w:style>
  <w:style w:type="paragraph" w:styleId="a5">
    <w:name w:val="footer"/>
    <w:basedOn w:val="a"/>
    <w:rsid w:val="007D2324"/>
    <w:pPr>
      <w:tabs>
        <w:tab w:val="clear" w:pos="709"/>
        <w:tab w:val="clear" w:pos="8363"/>
        <w:tab w:val="center" w:pos="4253"/>
        <w:tab w:val="right" w:pos="8306"/>
      </w:tabs>
      <w:jc w:val="center"/>
    </w:pPr>
    <w:rPr>
      <w:sz w:val="12"/>
    </w:rPr>
  </w:style>
  <w:style w:type="character" w:styleId="a6">
    <w:name w:val="page number"/>
    <w:rsid w:val="007D2324"/>
    <w:rPr>
      <w:rFonts w:ascii="Arial" w:hAnsi="Arial"/>
      <w:color w:val="auto"/>
      <w:kern w:val="16"/>
      <w:u w:val="none"/>
    </w:rPr>
  </w:style>
  <w:style w:type="character" w:customStyle="1" w:styleId="CommentReference1">
    <w:name w:val="Comment Reference1"/>
    <w:rsid w:val="007D2324"/>
    <w:rPr>
      <w:rFonts w:ascii="Arial" w:hAnsi="Arial"/>
      <w:i/>
      <w:color w:val="auto"/>
      <w:kern w:val="16"/>
      <w:position w:val="6"/>
      <w:sz w:val="16"/>
      <w:u w:val="none"/>
    </w:rPr>
  </w:style>
  <w:style w:type="paragraph" w:styleId="a7">
    <w:name w:val="Body Text"/>
    <w:basedOn w:val="a"/>
    <w:rsid w:val="007D2324"/>
    <w:pPr>
      <w:spacing w:after="120"/>
    </w:pPr>
  </w:style>
  <w:style w:type="paragraph" w:styleId="a8">
    <w:name w:val="Body Text Indent"/>
    <w:basedOn w:val="a"/>
    <w:rsid w:val="007D2324"/>
    <w:pPr>
      <w:spacing w:after="120"/>
      <w:ind w:left="283"/>
    </w:pPr>
  </w:style>
  <w:style w:type="character" w:styleId="a9">
    <w:name w:val="annotation reference"/>
    <w:semiHidden/>
    <w:rsid w:val="007D2324"/>
    <w:rPr>
      <w:rFonts w:ascii="Arial" w:hAnsi="Arial"/>
      <w:sz w:val="16"/>
      <w:szCs w:val="16"/>
    </w:rPr>
  </w:style>
  <w:style w:type="paragraph" w:styleId="aa">
    <w:name w:val="envelope address"/>
    <w:basedOn w:val="a"/>
    <w:rsid w:val="007D2324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b">
    <w:name w:val="Closing"/>
    <w:basedOn w:val="a"/>
    <w:rsid w:val="007D2324"/>
    <w:pPr>
      <w:ind w:left="4252"/>
    </w:pPr>
  </w:style>
  <w:style w:type="paragraph" w:styleId="ac">
    <w:name w:val="envelope return"/>
    <w:basedOn w:val="a"/>
    <w:rsid w:val="007D2324"/>
  </w:style>
  <w:style w:type="character" w:styleId="ad">
    <w:name w:val="endnote reference"/>
    <w:semiHidden/>
    <w:rsid w:val="007D2324"/>
    <w:rPr>
      <w:rFonts w:ascii="Arial" w:hAnsi="Arial"/>
      <w:b/>
      <w:color w:val="auto"/>
      <w:kern w:val="16"/>
      <w:position w:val="6"/>
      <w:sz w:val="14"/>
      <w:u w:val="none"/>
    </w:rPr>
  </w:style>
  <w:style w:type="paragraph" w:styleId="ae">
    <w:name w:val="endnote text"/>
    <w:basedOn w:val="a"/>
    <w:semiHidden/>
    <w:rsid w:val="007D2324"/>
    <w:pPr>
      <w:spacing w:after="200" w:line="220" w:lineRule="atLeast"/>
      <w:ind w:left="170" w:hanging="170"/>
    </w:pPr>
    <w:rPr>
      <w:sz w:val="16"/>
    </w:rPr>
  </w:style>
  <w:style w:type="paragraph" w:styleId="10">
    <w:name w:val="index 1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right" w:leader="dot" w:pos="8363"/>
      </w:tabs>
      <w:spacing w:after="120"/>
      <w:ind w:left="284" w:hanging="284"/>
    </w:pPr>
  </w:style>
  <w:style w:type="paragraph" w:styleId="20">
    <w:name w:val="index 2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right" w:leader="dot" w:pos="8363"/>
      </w:tabs>
      <w:spacing w:after="120"/>
      <w:ind w:left="993" w:hanging="284"/>
    </w:pPr>
  </w:style>
  <w:style w:type="paragraph" w:styleId="30">
    <w:name w:val="index 3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600" w:hanging="200"/>
    </w:pPr>
  </w:style>
  <w:style w:type="paragraph" w:styleId="40">
    <w:name w:val="index 4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800" w:hanging="200"/>
    </w:pPr>
  </w:style>
  <w:style w:type="paragraph" w:styleId="50">
    <w:name w:val="index 5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000" w:hanging="200"/>
    </w:pPr>
  </w:style>
  <w:style w:type="paragraph" w:styleId="60">
    <w:name w:val="index 6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200" w:hanging="200"/>
    </w:pPr>
  </w:style>
  <w:style w:type="paragraph" w:styleId="70">
    <w:name w:val="index 7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4253" w:hanging="708"/>
    </w:pPr>
  </w:style>
  <w:style w:type="paragraph" w:styleId="80">
    <w:name w:val="index 8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600" w:hanging="200"/>
    </w:pPr>
  </w:style>
  <w:style w:type="paragraph" w:styleId="90">
    <w:name w:val="index 9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800" w:hanging="200"/>
    </w:pPr>
  </w:style>
  <w:style w:type="paragraph" w:styleId="af">
    <w:name w:val="index heading"/>
    <w:basedOn w:val="a"/>
    <w:next w:val="10"/>
    <w:semiHidden/>
    <w:rsid w:val="007D2324"/>
  </w:style>
  <w:style w:type="character" w:styleId="af0">
    <w:name w:val="line number"/>
    <w:rsid w:val="007D2324"/>
    <w:rPr>
      <w:rFonts w:ascii="Arial" w:hAnsi="Arial"/>
      <w:color w:val="auto"/>
      <w:kern w:val="16"/>
      <w:u w:val="none"/>
    </w:rPr>
  </w:style>
  <w:style w:type="paragraph" w:styleId="af1">
    <w:name w:val="List"/>
    <w:basedOn w:val="a"/>
    <w:rsid w:val="007D2324"/>
    <w:pPr>
      <w:ind w:left="283" w:hanging="283"/>
    </w:pPr>
  </w:style>
  <w:style w:type="paragraph" w:styleId="21">
    <w:name w:val="List 2"/>
    <w:basedOn w:val="a"/>
    <w:rsid w:val="007D2324"/>
    <w:pPr>
      <w:ind w:left="566" w:hanging="283"/>
    </w:pPr>
  </w:style>
  <w:style w:type="paragraph" w:styleId="31">
    <w:name w:val="List 3"/>
    <w:basedOn w:val="a"/>
    <w:rsid w:val="007D2324"/>
    <w:pPr>
      <w:ind w:left="849" w:hanging="283"/>
    </w:pPr>
  </w:style>
  <w:style w:type="paragraph" w:styleId="41">
    <w:name w:val="List 4"/>
    <w:basedOn w:val="a"/>
    <w:rsid w:val="007D2324"/>
    <w:pPr>
      <w:ind w:left="1132" w:hanging="283"/>
    </w:pPr>
  </w:style>
  <w:style w:type="paragraph" w:styleId="51">
    <w:name w:val="List 5"/>
    <w:basedOn w:val="a"/>
    <w:rsid w:val="007D2324"/>
    <w:pPr>
      <w:ind w:left="1415" w:hanging="283"/>
    </w:pPr>
  </w:style>
  <w:style w:type="paragraph" w:styleId="af2">
    <w:name w:val="List Continue"/>
    <w:basedOn w:val="a"/>
    <w:rsid w:val="007D2324"/>
    <w:pPr>
      <w:spacing w:after="120"/>
      <w:ind w:left="283"/>
    </w:pPr>
  </w:style>
  <w:style w:type="paragraph" w:styleId="22">
    <w:name w:val="List Continue 2"/>
    <w:basedOn w:val="a"/>
    <w:rsid w:val="007D2324"/>
    <w:pPr>
      <w:spacing w:after="120"/>
      <w:ind w:left="566"/>
    </w:pPr>
  </w:style>
  <w:style w:type="paragraph" w:styleId="32">
    <w:name w:val="List Continue 3"/>
    <w:basedOn w:val="a"/>
    <w:rsid w:val="007D2324"/>
    <w:pPr>
      <w:spacing w:after="120"/>
      <w:ind w:left="849"/>
    </w:pPr>
  </w:style>
  <w:style w:type="paragraph" w:styleId="42">
    <w:name w:val="List Continue 4"/>
    <w:basedOn w:val="a"/>
    <w:rsid w:val="007D2324"/>
    <w:pPr>
      <w:spacing w:after="120"/>
      <w:ind w:left="1132"/>
    </w:pPr>
  </w:style>
  <w:style w:type="paragraph" w:styleId="52">
    <w:name w:val="List Continue 5"/>
    <w:basedOn w:val="a"/>
    <w:rsid w:val="007D2324"/>
    <w:pPr>
      <w:spacing w:after="120"/>
      <w:ind w:left="1415"/>
    </w:pPr>
  </w:style>
  <w:style w:type="paragraph" w:styleId="af3">
    <w:name w:val="List Number"/>
    <w:basedOn w:val="a"/>
    <w:rsid w:val="007D2324"/>
    <w:pPr>
      <w:ind w:left="283" w:hanging="283"/>
    </w:pPr>
  </w:style>
  <w:style w:type="paragraph" w:styleId="23">
    <w:name w:val="List Number 2"/>
    <w:basedOn w:val="a"/>
    <w:rsid w:val="007D2324"/>
    <w:pPr>
      <w:ind w:left="566" w:hanging="283"/>
    </w:pPr>
  </w:style>
  <w:style w:type="paragraph" w:styleId="33">
    <w:name w:val="List Number 3"/>
    <w:basedOn w:val="a"/>
    <w:rsid w:val="007D2324"/>
    <w:pPr>
      <w:ind w:left="849" w:hanging="283"/>
    </w:pPr>
  </w:style>
  <w:style w:type="paragraph" w:styleId="43">
    <w:name w:val="List Number 4"/>
    <w:basedOn w:val="a"/>
    <w:rsid w:val="007D2324"/>
    <w:pPr>
      <w:ind w:left="1132" w:hanging="283"/>
    </w:pPr>
  </w:style>
  <w:style w:type="paragraph" w:styleId="53">
    <w:name w:val="List Number 5"/>
    <w:basedOn w:val="a"/>
    <w:rsid w:val="007D2324"/>
    <w:pPr>
      <w:ind w:left="1415" w:hanging="283"/>
    </w:pPr>
  </w:style>
  <w:style w:type="paragraph" w:styleId="af4">
    <w:name w:val="Message Header"/>
    <w:basedOn w:val="a"/>
    <w:rsid w:val="007D2324"/>
    <w:pPr>
      <w:ind w:left="1134" w:hanging="1134"/>
    </w:pPr>
    <w:rPr>
      <w:sz w:val="24"/>
    </w:rPr>
  </w:style>
  <w:style w:type="paragraph" w:styleId="af5">
    <w:name w:val="Signature"/>
    <w:basedOn w:val="a"/>
    <w:rsid w:val="007D2324"/>
    <w:pPr>
      <w:ind w:left="4252"/>
    </w:pPr>
  </w:style>
  <w:style w:type="paragraph" w:styleId="af6">
    <w:name w:val="Subtitle"/>
    <w:basedOn w:val="a"/>
    <w:qFormat/>
    <w:rsid w:val="007D2324"/>
    <w:pPr>
      <w:spacing w:after="60"/>
      <w:jc w:val="center"/>
    </w:pPr>
    <w:rPr>
      <w:i/>
      <w:sz w:val="24"/>
    </w:rPr>
  </w:style>
  <w:style w:type="paragraph" w:styleId="af7">
    <w:name w:val="Title"/>
    <w:basedOn w:val="a"/>
    <w:qFormat/>
    <w:rsid w:val="007D2324"/>
    <w:pPr>
      <w:spacing w:before="240" w:after="60"/>
      <w:jc w:val="center"/>
    </w:pPr>
    <w:rPr>
      <w:b/>
      <w:sz w:val="32"/>
    </w:rPr>
  </w:style>
  <w:style w:type="paragraph" w:styleId="af8">
    <w:name w:val="toa heading"/>
    <w:basedOn w:val="a"/>
    <w:next w:val="a"/>
    <w:semiHidden/>
    <w:rsid w:val="007D2324"/>
    <w:pPr>
      <w:spacing w:before="120"/>
    </w:pPr>
    <w:rPr>
      <w:b/>
      <w:sz w:val="24"/>
    </w:rPr>
  </w:style>
  <w:style w:type="paragraph" w:styleId="11">
    <w:name w:val="toc 1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styleId="24">
    <w:name w:val="toc 2"/>
    <w:basedOn w:val="a"/>
    <w:next w:val="a"/>
    <w:semiHidden/>
    <w:rsid w:val="007D2324"/>
    <w:pPr>
      <w:tabs>
        <w:tab w:val="clear" w:pos="709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  <w:ind w:left="709"/>
    </w:pPr>
  </w:style>
  <w:style w:type="paragraph" w:styleId="34">
    <w:name w:val="toc 3"/>
    <w:basedOn w:val="a"/>
    <w:next w:val="a"/>
    <w:semiHidden/>
    <w:rsid w:val="007D2324"/>
    <w:pPr>
      <w:tabs>
        <w:tab w:val="clear" w:pos="709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  <w:ind w:left="709"/>
    </w:pPr>
  </w:style>
  <w:style w:type="paragraph" w:styleId="44">
    <w:name w:val="toc 4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600"/>
    </w:pPr>
  </w:style>
  <w:style w:type="paragraph" w:styleId="54">
    <w:name w:val="toc 5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800"/>
    </w:pPr>
  </w:style>
  <w:style w:type="paragraph" w:styleId="61">
    <w:name w:val="toc 6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000"/>
    </w:pPr>
  </w:style>
  <w:style w:type="paragraph" w:styleId="71">
    <w:name w:val="toc 7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200"/>
    </w:pPr>
  </w:style>
  <w:style w:type="paragraph" w:styleId="81">
    <w:name w:val="toc 8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400"/>
    </w:pPr>
  </w:style>
  <w:style w:type="paragraph" w:styleId="91">
    <w:name w:val="toc 9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600"/>
    </w:pPr>
  </w:style>
  <w:style w:type="paragraph" w:customStyle="1" w:styleId="BackSheet">
    <w:name w:val="BackSheet"/>
    <w:basedOn w:val="a"/>
    <w:rsid w:val="007D2324"/>
    <w:pPr>
      <w:ind w:left="4253"/>
    </w:pPr>
    <w:rPr>
      <w:kern w:val="0"/>
    </w:rPr>
  </w:style>
  <w:style w:type="character" w:styleId="af9">
    <w:name w:val="footnote reference"/>
    <w:rsid w:val="007D2324"/>
    <w:rPr>
      <w:rFonts w:ascii="Arial" w:hAnsi="Arial"/>
      <w:b/>
      <w:color w:val="auto"/>
      <w:kern w:val="16"/>
      <w:position w:val="6"/>
      <w:sz w:val="14"/>
      <w:u w:val="none"/>
    </w:rPr>
  </w:style>
  <w:style w:type="paragraph" w:styleId="afa">
    <w:name w:val="footnote text"/>
    <w:basedOn w:val="a"/>
    <w:link w:val="Char"/>
    <w:rsid w:val="007D2324"/>
    <w:pPr>
      <w:spacing w:after="200" w:line="220" w:lineRule="atLeast"/>
      <w:ind w:left="170" w:hanging="170"/>
    </w:pPr>
    <w:rPr>
      <w:sz w:val="16"/>
    </w:rPr>
  </w:style>
  <w:style w:type="paragraph" w:customStyle="1" w:styleId="Heading">
    <w:name w:val="Heading"/>
    <w:basedOn w:val="a"/>
    <w:next w:val="a"/>
    <w:rsid w:val="007D2324"/>
    <w:pPr>
      <w:keepNext/>
      <w:keepLines/>
    </w:pPr>
  </w:style>
  <w:style w:type="paragraph" w:customStyle="1" w:styleId="Indent1">
    <w:name w:val="Indent1"/>
    <w:basedOn w:val="a"/>
    <w:rsid w:val="007D2324"/>
    <w:pPr>
      <w:tabs>
        <w:tab w:val="left" w:pos="1985"/>
        <w:tab w:val="left" w:pos="2552"/>
      </w:tabs>
      <w:ind w:left="1418" w:hanging="567"/>
    </w:pPr>
  </w:style>
  <w:style w:type="paragraph" w:customStyle="1" w:styleId="indent2">
    <w:name w:val="indent2"/>
    <w:basedOn w:val="a"/>
    <w:rsid w:val="007D2324"/>
    <w:pPr>
      <w:tabs>
        <w:tab w:val="left" w:pos="1985"/>
        <w:tab w:val="left" w:pos="2552"/>
      </w:tabs>
      <w:ind w:left="1418"/>
    </w:pPr>
  </w:style>
  <w:style w:type="paragraph" w:styleId="afb">
    <w:name w:val="List Bullet"/>
    <w:basedOn w:val="a"/>
    <w:autoRedefine/>
    <w:rsid w:val="007D2324"/>
    <w:pPr>
      <w:ind w:left="283" w:hanging="283"/>
    </w:pPr>
  </w:style>
  <w:style w:type="paragraph" w:styleId="25">
    <w:name w:val="List Bullet 2"/>
    <w:basedOn w:val="a"/>
    <w:autoRedefine/>
    <w:rsid w:val="007D2324"/>
    <w:pPr>
      <w:ind w:left="566" w:hanging="283"/>
    </w:pPr>
  </w:style>
  <w:style w:type="paragraph" w:styleId="35">
    <w:name w:val="List Bullet 3"/>
    <w:basedOn w:val="a"/>
    <w:autoRedefine/>
    <w:rsid w:val="007D2324"/>
    <w:pPr>
      <w:ind w:left="849" w:hanging="283"/>
    </w:pPr>
  </w:style>
  <w:style w:type="paragraph" w:styleId="45">
    <w:name w:val="List Bullet 4"/>
    <w:basedOn w:val="a"/>
    <w:autoRedefine/>
    <w:rsid w:val="007D2324"/>
    <w:pPr>
      <w:ind w:left="1132" w:hanging="283"/>
    </w:pPr>
  </w:style>
  <w:style w:type="paragraph" w:styleId="55">
    <w:name w:val="List Bullet 5"/>
    <w:basedOn w:val="a"/>
    <w:autoRedefine/>
    <w:rsid w:val="007D2324"/>
    <w:pPr>
      <w:ind w:left="1415" w:hanging="283"/>
    </w:pPr>
  </w:style>
  <w:style w:type="paragraph" w:styleId="afc">
    <w:name w:val="macro"/>
    <w:semiHidden/>
    <w:rsid w:val="007D232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160" w:lineRule="atLeast"/>
    </w:pPr>
    <w:rPr>
      <w:rFonts w:ascii="Courier New" w:hAnsi="Courier New"/>
      <w:sz w:val="16"/>
      <w:lang w:val="en-GB"/>
    </w:rPr>
  </w:style>
  <w:style w:type="paragraph" w:styleId="afd">
    <w:name w:val="Normal Indent"/>
    <w:basedOn w:val="a"/>
    <w:rsid w:val="007D2324"/>
    <w:pPr>
      <w:tabs>
        <w:tab w:val="left" w:pos="1985"/>
        <w:tab w:val="left" w:pos="2552"/>
      </w:tabs>
      <w:ind w:left="851"/>
    </w:pPr>
  </w:style>
  <w:style w:type="paragraph" w:customStyle="1" w:styleId="Quote1">
    <w:name w:val="Quote1"/>
    <w:basedOn w:val="a"/>
    <w:next w:val="a"/>
    <w:qFormat/>
    <w:rsid w:val="007D2324"/>
    <w:pPr>
      <w:spacing w:line="240" w:lineRule="atLeast"/>
      <w:ind w:left="1418"/>
    </w:pPr>
  </w:style>
  <w:style w:type="paragraph" w:styleId="afe">
    <w:name w:val="table of authorities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styleId="aff">
    <w:name w:val="table of figures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customStyle="1" w:styleId="TitleTOC">
    <w:name w:val="TitleTOC"/>
    <w:basedOn w:val="a"/>
    <w:rsid w:val="007D2324"/>
    <w:pPr>
      <w:jc w:val="center"/>
    </w:pPr>
    <w:rPr>
      <w:b/>
    </w:rPr>
  </w:style>
  <w:style w:type="paragraph" w:customStyle="1" w:styleId="CommentText1">
    <w:name w:val="Comment Text1"/>
    <w:basedOn w:val="a"/>
    <w:rsid w:val="007D2324"/>
    <w:pPr>
      <w:spacing w:after="200" w:line="220" w:lineRule="atLeast"/>
      <w:ind w:left="170" w:hanging="170"/>
    </w:pPr>
    <w:rPr>
      <w:sz w:val="16"/>
    </w:rPr>
  </w:style>
  <w:style w:type="paragraph" w:styleId="aff0">
    <w:name w:val="annotation text"/>
    <w:basedOn w:val="a"/>
    <w:semiHidden/>
    <w:rsid w:val="007D2324"/>
  </w:style>
  <w:style w:type="paragraph" w:styleId="aff1">
    <w:name w:val="annotation subject"/>
    <w:basedOn w:val="aff0"/>
    <w:next w:val="aff0"/>
    <w:semiHidden/>
    <w:rsid w:val="007D2324"/>
    <w:rPr>
      <w:b/>
      <w:bCs/>
    </w:rPr>
  </w:style>
  <w:style w:type="paragraph" w:styleId="aff2">
    <w:name w:val="Balloon Text"/>
    <w:basedOn w:val="a"/>
    <w:semiHidden/>
    <w:rsid w:val="007D2324"/>
    <w:rPr>
      <w:rFonts w:ascii="Tahoma" w:hAnsi="Tahoma" w:cs="Tahoma"/>
      <w:sz w:val="16"/>
      <w:szCs w:val="16"/>
    </w:rPr>
  </w:style>
  <w:style w:type="table" w:styleId="aff3">
    <w:name w:val="Table Grid"/>
    <w:basedOn w:val="a1"/>
    <w:rsid w:val="00537287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脚注文本 Char"/>
    <w:link w:val="afa"/>
    <w:rsid w:val="00A75E31"/>
    <w:rPr>
      <w:rFonts w:ascii="Arial" w:hAnsi="Arial"/>
      <w:kern w:val="16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5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504D9-5DF2-4C7F-A28A-117FD111A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1899-12-31T16:00:00Z</cp:lastPrinted>
  <dcterms:created xsi:type="dcterms:W3CDTF">2018-10-31T12:15:00Z</dcterms:created>
  <dcterms:modified xsi:type="dcterms:W3CDTF">2018-11-29T15:38:00Z</dcterms:modified>
  <cp:category/>
  <cp:contentStatus/>
</cp:coreProperties>
</file>