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B67DD8" w:rsidRDefault="00094095" w:rsidP="00B67DD8">
      <w:pPr>
        <w:spacing w:line="440" w:lineRule="exact"/>
        <w:jc w:val="center"/>
        <w:rPr>
          <w:rFonts w:ascii="仿宋" w:eastAsia="仿宋" w:hAnsi="仿宋"/>
          <w:b/>
          <w:sz w:val="30"/>
          <w:szCs w:val="30"/>
        </w:rPr>
      </w:pPr>
      <w:r w:rsidRPr="00B67DD8">
        <w:rPr>
          <w:rFonts w:ascii="仿宋" w:eastAsia="仿宋" w:hAnsi="仿宋"/>
          <w:b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1A4A12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A4A12">
              <w:rPr>
                <w:rFonts w:ascii="Times New Roman" w:eastAsia="仿宋_GB2312" w:hAnsi="Times New Roman" w:hint="eastAsia"/>
                <w:sz w:val="28"/>
                <w:szCs w:val="28"/>
              </w:rPr>
              <w:t>沃尔夫克莱斯特有限公司收购日本先锋株式会社股权案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1A4A12" w:rsidP="001A4A1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A4A12">
              <w:rPr>
                <w:rFonts w:ascii="Times New Roman" w:eastAsia="仿宋_GB2312" w:hAnsi="Times New Roman" w:hint="eastAsia"/>
                <w:sz w:val="28"/>
                <w:szCs w:val="28"/>
              </w:rPr>
              <w:t>沃尔夫克莱斯特有限公司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（“沃尔夫克莱斯特</w:t>
            </w:r>
            <w:r w:rsidR="004A29FA">
              <w:rPr>
                <w:rFonts w:ascii="Times New Roman" w:eastAsia="仿宋_GB2312" w:hAnsi="Times New Roman" w:hint="eastAsia"/>
                <w:sz w:val="28"/>
                <w:szCs w:val="28"/>
              </w:rPr>
              <w:t>”）与</w:t>
            </w:r>
            <w:r w:rsidRPr="001A4A12">
              <w:rPr>
                <w:rFonts w:ascii="Times New Roman" w:eastAsia="仿宋_GB2312" w:hAnsi="Times New Roman" w:hint="eastAsia"/>
                <w:sz w:val="28"/>
                <w:szCs w:val="28"/>
              </w:rPr>
              <w:t>日本先锋株式会社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（“先锋</w:t>
            </w:r>
            <w:r w:rsidR="004A29FA">
              <w:rPr>
                <w:rFonts w:ascii="Times New Roman" w:eastAsia="仿宋_GB2312" w:hAnsi="Times New Roman" w:hint="eastAsia"/>
                <w:sz w:val="28"/>
                <w:szCs w:val="28"/>
              </w:rPr>
              <w:t>”）签署了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投资协议</w:t>
            </w:r>
            <w:r w:rsidR="004A29FA"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交易后</w:t>
            </w:r>
            <w:r w:rsidRPr="001A4A12">
              <w:rPr>
                <w:rFonts w:ascii="Times New Roman" w:eastAsia="仿宋_GB2312" w:hAnsi="Times New Roman" w:hint="eastAsia"/>
                <w:sz w:val="28"/>
                <w:szCs w:val="28"/>
              </w:rPr>
              <w:t>沃尔夫克莱斯特将</w:t>
            </w:r>
            <w:r w:rsidRPr="001A4A12">
              <w:rPr>
                <w:rFonts w:ascii="Times New Roman" w:eastAsia="仿宋_GB2312" w:hAnsi="Times New Roman" w:hint="eastAsia"/>
                <w:sz w:val="28"/>
                <w:szCs w:val="28"/>
              </w:rPr>
              <w:t>100%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持股先锋，并享有对先锋的单独控制权</w:t>
            </w:r>
            <w:r w:rsidR="004A29FA" w:rsidRPr="004A29FA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1A4A12" w:rsidRPr="001A4A12">
              <w:rPr>
                <w:rFonts w:ascii="Times New Roman" w:eastAsia="仿宋_GB2312" w:hAnsi="Times New Roman" w:hint="eastAsia"/>
                <w:sz w:val="28"/>
                <w:szCs w:val="28"/>
              </w:rPr>
              <w:t>沃尔夫克莱斯特</w:t>
            </w:r>
          </w:p>
        </w:tc>
        <w:tc>
          <w:tcPr>
            <w:tcW w:w="5153" w:type="dxa"/>
          </w:tcPr>
          <w:p w:rsidR="00094095" w:rsidRPr="007A6E43" w:rsidRDefault="00717D39" w:rsidP="00717D3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沃尔夫克莱斯特是本次交易的直接收购实体，</w:t>
            </w:r>
            <w:bookmarkStart w:id="0" w:name="_GoBack"/>
            <w:bookmarkEnd w:id="0"/>
            <w:r w:rsidR="001A4A12" w:rsidRPr="001A4A12">
              <w:rPr>
                <w:rFonts w:ascii="Times New Roman" w:eastAsia="仿宋_GB2312" w:hAnsi="Times New Roman" w:hint="eastAsia"/>
                <w:sz w:val="28"/>
                <w:szCs w:val="28"/>
              </w:rPr>
              <w:t>由一家隶属于霸菱亚洲私募股权投资集团（“霸菱亚洲”）的基金控股。霸菱亚洲控制的投资组合公司涉及教育、商业服务、制造、物流、医疗保健和消费行业。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1A4A12">
              <w:rPr>
                <w:rFonts w:ascii="Times New Roman" w:eastAsia="仿宋_GB2312" w:hAnsi="Times New Roman" w:hint="eastAsia"/>
                <w:sz w:val="28"/>
                <w:szCs w:val="28"/>
              </w:rPr>
              <w:t>先锋</w:t>
            </w:r>
          </w:p>
        </w:tc>
        <w:tc>
          <w:tcPr>
            <w:tcW w:w="5153" w:type="dxa"/>
          </w:tcPr>
          <w:p w:rsidR="00094095" w:rsidRPr="007A6E43" w:rsidRDefault="001A4A12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A4A12">
              <w:rPr>
                <w:rFonts w:ascii="Times New Roman" w:eastAsia="仿宋_GB2312" w:hAnsi="Times New Roman" w:hint="eastAsia"/>
                <w:sz w:val="28"/>
                <w:szCs w:val="28"/>
              </w:rPr>
              <w:t>先锋是一家总部位于日本东京，专门从事电子产品的开发、制造和销售的日本跨国公司。先锋的主要业务部门为汽车电子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产品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,</w:t>
            </w:r>
            <w:r>
              <w:rPr>
                <w:rFonts w:hint="eastAsia"/>
              </w:rPr>
              <w:t xml:space="preserve"> </w:t>
            </w:r>
            <w:r w:rsidRPr="001A4A12">
              <w:rPr>
                <w:rFonts w:ascii="Times New Roman" w:eastAsia="仿宋_GB2312" w:hAnsi="Times New Roman" w:hint="eastAsia"/>
                <w:sz w:val="28"/>
                <w:szCs w:val="28"/>
              </w:rPr>
              <w:t>先锋还生产和销售其他产品，包括光盘驱动器</w:t>
            </w:r>
            <w:r w:rsidR="00970410">
              <w:rPr>
                <w:rFonts w:ascii="Times New Roman" w:eastAsia="仿宋_GB2312" w:hAnsi="Times New Roman" w:hint="eastAsia"/>
                <w:sz w:val="28"/>
                <w:szCs w:val="28"/>
              </w:rPr>
              <w:t>等</w:t>
            </w:r>
            <w:r w:rsidR="00105EB0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4A29FA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4A29FA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1A4A12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1A4A12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7A6E43" w:rsidRDefault="00B67D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相关产品市场：车载影音</w:t>
            </w:r>
          </w:p>
          <w:p w:rsidR="00B67DD8" w:rsidRPr="00B67DD8" w:rsidRDefault="00B67D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相关地域市场：中国</w:t>
            </w:r>
          </w:p>
          <w:p w:rsidR="00B67DD8" w:rsidRDefault="00B67D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市场份额：</w:t>
            </w:r>
          </w:p>
          <w:p w:rsidR="00B67DD8" w:rsidRDefault="00B67D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霸菱亚洲：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0%</w:t>
            </w:r>
          </w:p>
          <w:p w:rsidR="00B67DD8" w:rsidRDefault="00B67D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先锋：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0-5%</w:t>
            </w:r>
          </w:p>
          <w:p w:rsidR="00B67DD8" w:rsidRDefault="00B67D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B67DD8" w:rsidRDefault="00B67D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相关产品市场：车载扬声器</w:t>
            </w:r>
          </w:p>
          <w:p w:rsidR="00B67DD8" w:rsidRP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相关地域市场：中国</w:t>
            </w: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市场份额：</w:t>
            </w: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霸菱亚洲：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0%</w:t>
            </w: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先锋：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0-5%</w:t>
            </w:r>
          </w:p>
          <w:p w:rsidR="00B67DD8" w:rsidRDefault="00B67D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相关产品市场：内置式车载导航仪</w:t>
            </w:r>
          </w:p>
          <w:p w:rsidR="00B67DD8" w:rsidRP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相关地域市场：中国</w:t>
            </w: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市场份额：</w:t>
            </w: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霸菱亚洲：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0%</w:t>
            </w: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先锋：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0-5%</w:t>
            </w:r>
          </w:p>
          <w:p w:rsidR="00B67DD8" w:rsidRDefault="00B67DD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相关产品市场：光盘驱动器</w:t>
            </w:r>
          </w:p>
          <w:p w:rsidR="00B67DD8" w:rsidRP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相关地域市场：全球</w:t>
            </w: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全球市场份额：</w:t>
            </w: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霸菱亚洲：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0%</w:t>
            </w:r>
          </w:p>
          <w:p w:rsidR="00B67DD8" w:rsidRDefault="00B67DD8" w:rsidP="00B67DD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先锋：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0-5% </w:t>
            </w:r>
          </w:p>
          <w:p w:rsidR="00B67DD8" w:rsidRDefault="00B67DD8" w:rsidP="0097041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970410" w:rsidRDefault="00970410" w:rsidP="0097041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4. 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相关产品市场：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O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LED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照明面板</w:t>
            </w:r>
          </w:p>
          <w:p w:rsidR="00970410" w:rsidRPr="00B67DD8" w:rsidRDefault="00970410" w:rsidP="0097041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相关地域市场：全球</w:t>
            </w:r>
          </w:p>
          <w:p w:rsidR="00970410" w:rsidRDefault="00970410" w:rsidP="0097041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全球市场份额：</w:t>
            </w:r>
          </w:p>
          <w:p w:rsidR="00970410" w:rsidRDefault="00970410" w:rsidP="0097041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霸菱亚洲：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0%</w:t>
            </w:r>
          </w:p>
          <w:p w:rsidR="00970410" w:rsidRPr="007A6E43" w:rsidRDefault="00970410" w:rsidP="009D6EC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先锋：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0-5% </w:t>
            </w: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5F167B" w:rsidRPr="007A6E43" w:rsidRDefault="005F167B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7A6E43">
        <w:rPr>
          <w:rFonts w:ascii="Times New Roman" w:eastAsia="楷体_GB2312" w:hAnsi="Times New Roman"/>
          <w:sz w:val="24"/>
          <w:szCs w:val="24"/>
        </w:rPr>
        <w:t>注解：</w:t>
      </w:r>
    </w:p>
    <w:p w:rsidR="005F167B" w:rsidRPr="007A6E43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7A6E43">
        <w:rPr>
          <w:rFonts w:ascii="Times New Roman" w:eastAsia="楷体_GB2312" w:hAnsi="Times New Roman"/>
          <w:sz w:val="24"/>
          <w:szCs w:val="24"/>
        </w:rPr>
        <w:t>1</w:t>
      </w:r>
      <w:r w:rsidRPr="007A6E43">
        <w:rPr>
          <w:rFonts w:ascii="Times New Roman" w:eastAsia="楷体_GB2312" w:hAnsi="Times New Roman"/>
          <w:sz w:val="24"/>
          <w:szCs w:val="24"/>
        </w:rPr>
        <w:t>、申报方申请简易案件的理由是基于</w:t>
      </w:r>
      <w:r w:rsidRPr="007A6E43">
        <w:rPr>
          <w:rFonts w:ascii="Times New Roman" w:eastAsia="楷体_GB2312" w:hAnsi="Times New Roman"/>
          <w:sz w:val="24"/>
          <w:szCs w:val="24"/>
        </w:rPr>
        <w:t>1-3</w:t>
      </w:r>
      <w:r w:rsidRPr="007A6E43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7A6E43">
        <w:rPr>
          <w:rFonts w:ascii="Times New Roman" w:eastAsia="楷体_GB2312" w:hAnsi="Times New Roman"/>
          <w:sz w:val="24"/>
          <w:szCs w:val="24"/>
        </w:rPr>
        <w:t>5%</w:t>
      </w:r>
      <w:r w:rsidRPr="007A6E43">
        <w:rPr>
          <w:rFonts w:ascii="Times New Roman" w:eastAsia="楷体_GB2312" w:hAnsi="Times New Roman"/>
          <w:sz w:val="24"/>
          <w:szCs w:val="24"/>
        </w:rPr>
        <w:t>。</w:t>
      </w:r>
      <w:r w:rsidRPr="007A6E43">
        <w:rPr>
          <w:rFonts w:ascii="Times New Roman" w:eastAsia="楷体_GB2312" w:hAnsi="Times New Roman"/>
          <w:sz w:val="24"/>
          <w:szCs w:val="24"/>
        </w:rPr>
        <w:t>1-3</w:t>
      </w:r>
      <w:r w:rsidRPr="007A6E43">
        <w:rPr>
          <w:rFonts w:ascii="Times New Roman" w:eastAsia="楷体_GB2312" w:hAnsi="Times New Roman"/>
          <w:sz w:val="24"/>
          <w:szCs w:val="24"/>
        </w:rPr>
        <w:t>项可以多选，也可单选；没有勾选的，视为本集中不涉及该类型交易。</w:t>
      </w:r>
    </w:p>
    <w:p w:rsidR="00094095" w:rsidRPr="007A6E43" w:rsidRDefault="005F167B" w:rsidP="00BB2377">
      <w:pPr>
        <w:spacing w:line="360" w:lineRule="auto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 w:rsidRPr="007A6E43">
        <w:rPr>
          <w:rFonts w:ascii="Times New Roman" w:eastAsia="楷体_GB2312" w:hAnsi="Times New Roman"/>
          <w:sz w:val="24"/>
          <w:szCs w:val="24"/>
        </w:rPr>
        <w:t>2</w:t>
      </w:r>
      <w:r w:rsidRPr="007A6E43">
        <w:rPr>
          <w:rFonts w:ascii="Times New Roman" w:eastAsia="楷体_GB2312" w:hAnsi="Times New Roman"/>
          <w:sz w:val="24"/>
          <w:szCs w:val="24"/>
        </w:rPr>
        <w:t>、申报方申请简易案件的理由是基于第</w:t>
      </w:r>
      <w:r w:rsidRPr="007A6E43">
        <w:rPr>
          <w:rFonts w:ascii="Times New Roman" w:eastAsia="楷体_GB2312" w:hAnsi="Times New Roman"/>
          <w:sz w:val="24"/>
          <w:szCs w:val="24"/>
        </w:rPr>
        <w:t>4</w:t>
      </w:r>
      <w:r w:rsidRPr="007A6E43">
        <w:rPr>
          <w:rFonts w:ascii="Times New Roman" w:eastAsia="楷体_GB2312" w:hAnsi="Times New Roman"/>
          <w:sz w:val="24"/>
          <w:szCs w:val="24"/>
        </w:rPr>
        <w:t>项、第</w:t>
      </w:r>
      <w:r w:rsidRPr="007A6E43">
        <w:rPr>
          <w:rFonts w:ascii="Times New Roman" w:eastAsia="楷体_GB2312" w:hAnsi="Times New Roman"/>
          <w:sz w:val="24"/>
          <w:szCs w:val="24"/>
        </w:rPr>
        <w:t>5</w:t>
      </w:r>
      <w:r w:rsidRPr="007A6E43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  <w:r w:rsidRPr="007A6E43">
        <w:rPr>
          <w:rFonts w:ascii="Times New Roman" w:eastAsia="楷体_GB2312" w:hAnsi="Times New Roman"/>
          <w:sz w:val="24"/>
          <w:szCs w:val="24"/>
        </w:rPr>
        <w:br/>
        <w:t xml:space="preserve">    3</w:t>
      </w:r>
      <w:r w:rsidRPr="007A6E43">
        <w:rPr>
          <w:rFonts w:ascii="Times New Roman" w:eastAsia="楷体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7A6E43">
        <w:rPr>
          <w:rFonts w:ascii="Times New Roman" w:eastAsia="楷体_GB2312" w:hAnsi="Times New Roman"/>
          <w:sz w:val="24"/>
          <w:szCs w:val="24"/>
        </w:rPr>
        <w:t>1</w:t>
      </w:r>
      <w:r w:rsidRPr="007A6E43">
        <w:rPr>
          <w:rFonts w:ascii="Times New Roman" w:eastAsia="楷体_GB2312" w:hAnsi="Times New Roman"/>
          <w:sz w:val="24"/>
          <w:szCs w:val="24"/>
        </w:rPr>
        <w:t>项和第</w:t>
      </w:r>
      <w:r w:rsidRPr="007A6E43">
        <w:rPr>
          <w:rFonts w:ascii="Times New Roman" w:eastAsia="楷体_GB2312" w:hAnsi="Times New Roman"/>
          <w:sz w:val="24"/>
          <w:szCs w:val="24"/>
        </w:rPr>
        <w:t>6</w:t>
      </w:r>
      <w:r w:rsidRPr="007A6E43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7A6E43">
        <w:rPr>
          <w:rFonts w:ascii="Times New Roman" w:eastAsia="楷体_GB2312" w:hAnsi="Times New Roman"/>
          <w:sz w:val="24"/>
          <w:szCs w:val="24"/>
        </w:rPr>
        <w:t>5%</w:t>
      </w:r>
      <w:r w:rsidRPr="007A6E43">
        <w:rPr>
          <w:rFonts w:ascii="Times New Roman" w:eastAsia="楷体_GB2312" w:hAnsi="Times New Roman"/>
          <w:sz w:val="24"/>
          <w:szCs w:val="24"/>
        </w:rPr>
        <w:t>。</w:t>
      </w:r>
    </w:p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FA1" w:rsidRDefault="007B0FA1" w:rsidP="00094095">
      <w:r>
        <w:separator/>
      </w:r>
    </w:p>
  </w:endnote>
  <w:endnote w:type="continuationSeparator" w:id="0">
    <w:p w:rsidR="007B0FA1" w:rsidRDefault="007B0FA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FA1" w:rsidRDefault="007B0FA1" w:rsidP="00094095">
      <w:r>
        <w:separator/>
      </w:r>
    </w:p>
  </w:footnote>
  <w:footnote w:type="continuationSeparator" w:id="0">
    <w:p w:rsidR="007B0FA1" w:rsidRDefault="007B0FA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105EB0"/>
    <w:rsid w:val="001A4A12"/>
    <w:rsid w:val="0020710D"/>
    <w:rsid w:val="00245776"/>
    <w:rsid w:val="002F2D60"/>
    <w:rsid w:val="00307976"/>
    <w:rsid w:val="003F7F2C"/>
    <w:rsid w:val="00462174"/>
    <w:rsid w:val="004A29FA"/>
    <w:rsid w:val="004D63C1"/>
    <w:rsid w:val="004F3BF8"/>
    <w:rsid w:val="004F5F73"/>
    <w:rsid w:val="005F167B"/>
    <w:rsid w:val="00717D39"/>
    <w:rsid w:val="007A6E43"/>
    <w:rsid w:val="007B0FA1"/>
    <w:rsid w:val="008E5D22"/>
    <w:rsid w:val="00937CFD"/>
    <w:rsid w:val="00970410"/>
    <w:rsid w:val="009D6ECA"/>
    <w:rsid w:val="00AA178C"/>
    <w:rsid w:val="00B205CD"/>
    <w:rsid w:val="00B67DD8"/>
    <w:rsid w:val="00BA0750"/>
    <w:rsid w:val="00BB2377"/>
    <w:rsid w:val="00C9068E"/>
    <w:rsid w:val="00C96B80"/>
    <w:rsid w:val="00CF13DB"/>
    <w:rsid w:val="00D21777"/>
    <w:rsid w:val="00E81B19"/>
    <w:rsid w:val="00ED21B1"/>
    <w:rsid w:val="00F85CE2"/>
    <w:rsid w:val="00F87C1F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9D6ECA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9D6ECA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2EC32-265B-43B5-BE87-0693145DA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5</cp:revision>
  <cp:lastPrinted>2014-10-08T02:48:00Z</cp:lastPrinted>
  <dcterms:created xsi:type="dcterms:W3CDTF">2019-01-22T05:48:00Z</dcterms:created>
  <dcterms:modified xsi:type="dcterms:W3CDTF">2019-01-22T06:43:00Z</dcterms:modified>
</cp:coreProperties>
</file>