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7214" w:rsidRPr="008E7B8C" w:rsidRDefault="00047214" w:rsidP="00047214">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047214" w:rsidRDefault="00047214" w:rsidP="00047214">
      <w:pPr>
        <w:spacing w:line="440" w:lineRule="exact"/>
        <w:rPr>
          <w:rFonts w:ascii="黑体" w:eastAsia="黑体" w:hAnsi="Times New Roman"/>
          <w:sz w:val="28"/>
          <w:szCs w:val="28"/>
        </w:rPr>
      </w:pPr>
    </w:p>
    <w:p w:rsidR="00047214" w:rsidRPr="00BA1596" w:rsidRDefault="00047214" w:rsidP="00047214">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47214" w:rsidRPr="002F2D60" w:rsidTr="00CA7AB4">
        <w:tc>
          <w:tcPr>
            <w:tcW w:w="1809" w:type="dxa"/>
            <w:shd w:val="clear" w:color="auto" w:fill="D9D9D9"/>
          </w:tcPr>
          <w:p w:rsidR="00047214" w:rsidRPr="002F2D60" w:rsidRDefault="00047214" w:rsidP="00CA7AB4">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案件名称</w:t>
            </w:r>
          </w:p>
        </w:tc>
        <w:tc>
          <w:tcPr>
            <w:tcW w:w="6949" w:type="dxa"/>
            <w:gridSpan w:val="2"/>
          </w:tcPr>
          <w:p w:rsidR="00047214" w:rsidRPr="002F2D60" w:rsidRDefault="00607C5F" w:rsidP="000B6C14">
            <w:pPr>
              <w:spacing w:line="500" w:lineRule="exact"/>
              <w:rPr>
                <w:rFonts w:ascii="仿宋_GB2312" w:eastAsia="仿宋_GB2312" w:hAnsi="Times New Roman"/>
                <w:sz w:val="28"/>
                <w:szCs w:val="28"/>
              </w:rPr>
            </w:pPr>
            <w:r w:rsidRPr="00607C5F">
              <w:rPr>
                <w:rFonts w:ascii="仿宋_GB2312" w:eastAsia="仿宋_GB2312" w:hAnsi="Times New Roman" w:hint="eastAsia"/>
                <w:sz w:val="28"/>
                <w:szCs w:val="28"/>
              </w:rPr>
              <w:t>四川发展国润环境投资有限公司收购北京清新环境技术股份有限公司股权案</w:t>
            </w:r>
          </w:p>
        </w:tc>
      </w:tr>
      <w:tr w:rsidR="009F7E1F" w:rsidRPr="002F2D60" w:rsidTr="00CA7AB4">
        <w:trPr>
          <w:trHeight w:val="993"/>
        </w:trPr>
        <w:tc>
          <w:tcPr>
            <w:tcW w:w="1809" w:type="dxa"/>
            <w:shd w:val="clear" w:color="auto" w:fill="D9D9D9"/>
          </w:tcPr>
          <w:p w:rsidR="009F7E1F" w:rsidRPr="002F2D60" w:rsidRDefault="009F7E1F" w:rsidP="00CA7AB4">
            <w:pPr>
              <w:spacing w:line="500" w:lineRule="exact"/>
              <w:rPr>
                <w:rFonts w:ascii="仿宋_GB2312" w:eastAsia="仿宋_GB2312" w:hAnsi="Times New Roman"/>
                <w:sz w:val="28"/>
                <w:szCs w:val="28"/>
              </w:rPr>
            </w:pPr>
            <w:r w:rsidRPr="00BE2A99">
              <w:rPr>
                <w:rFonts w:ascii="仿宋_GB2312" w:eastAsia="仿宋_GB2312" w:hAnsi="Times New Roman" w:hint="eastAsia"/>
                <w:sz w:val="28"/>
                <w:szCs w:val="28"/>
              </w:rPr>
              <w:t>交易概况（限200字内）</w:t>
            </w:r>
          </w:p>
        </w:tc>
        <w:tc>
          <w:tcPr>
            <w:tcW w:w="6949" w:type="dxa"/>
            <w:gridSpan w:val="2"/>
          </w:tcPr>
          <w:p w:rsidR="009F7E1F" w:rsidRPr="002F2D60" w:rsidRDefault="009F7E1F" w:rsidP="00443E4B">
            <w:pPr>
              <w:spacing w:line="500" w:lineRule="exact"/>
              <w:rPr>
                <w:rFonts w:ascii="仿宋_GB2312" w:eastAsia="仿宋_GB2312" w:hAnsi="Times New Roman"/>
                <w:sz w:val="28"/>
                <w:szCs w:val="28"/>
              </w:rPr>
            </w:pPr>
            <w:r w:rsidRPr="000A2C65">
              <w:rPr>
                <w:rFonts w:ascii="仿宋_GB2312" w:eastAsia="仿宋_GB2312" w:hAnsi="Times New Roman" w:hint="eastAsia"/>
                <w:sz w:val="28"/>
                <w:szCs w:val="28"/>
              </w:rPr>
              <w:t>根据交易方已经签署的股份转让协议，北京清新环境技术股份有限公司（“清新环境”）控股股东北京世纪地和控股有限公司（“世纪地和”，持有清新环境45.31%的股份）拟向四川发展国润环境投资有限公司（“国润环境”）转让25.31%的股份。交易后，世纪地和将继续持有20%的股份，收购方国润环境将取得25.31%的股份。</w:t>
            </w:r>
          </w:p>
        </w:tc>
      </w:tr>
      <w:tr w:rsidR="009F7E1F" w:rsidRPr="002F2D60" w:rsidTr="00CA7AB4">
        <w:trPr>
          <w:trHeight w:val="468"/>
        </w:trPr>
        <w:tc>
          <w:tcPr>
            <w:tcW w:w="1809" w:type="dxa"/>
            <w:vMerge w:val="restart"/>
            <w:shd w:val="clear" w:color="auto" w:fill="D9D9D9"/>
          </w:tcPr>
          <w:p w:rsidR="009F7E1F" w:rsidRPr="002F2D60" w:rsidRDefault="009F7E1F" w:rsidP="00CA7AB4">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参与集中的经营者简介</w:t>
            </w:r>
          </w:p>
        </w:tc>
        <w:tc>
          <w:tcPr>
            <w:tcW w:w="1796" w:type="dxa"/>
          </w:tcPr>
          <w:p w:rsidR="009F7E1F" w:rsidRPr="002F2D60" w:rsidRDefault="009F7E1F" w:rsidP="00C27BF9">
            <w:pPr>
              <w:spacing w:line="500" w:lineRule="exact"/>
              <w:rPr>
                <w:rFonts w:ascii="仿宋_GB2312" w:eastAsia="仿宋_GB2312" w:hAnsi="Times New Roman"/>
                <w:sz w:val="28"/>
                <w:szCs w:val="28"/>
              </w:rPr>
            </w:pPr>
            <w:r>
              <w:rPr>
                <w:rFonts w:ascii="仿宋_GB2312" w:eastAsia="仿宋_GB2312" w:hAnsi="Times New Roman" w:hint="eastAsia"/>
                <w:sz w:val="28"/>
                <w:szCs w:val="28"/>
              </w:rPr>
              <w:t>1.国润环境</w:t>
            </w:r>
          </w:p>
        </w:tc>
        <w:tc>
          <w:tcPr>
            <w:tcW w:w="5153" w:type="dxa"/>
          </w:tcPr>
          <w:p w:rsidR="009F7E1F" w:rsidRPr="002F2D60" w:rsidRDefault="009F7E1F" w:rsidP="00CA7AB4">
            <w:pPr>
              <w:spacing w:line="500" w:lineRule="exact"/>
              <w:rPr>
                <w:rFonts w:ascii="仿宋_GB2312" w:eastAsia="仿宋_GB2312" w:hAnsi="Times New Roman"/>
                <w:sz w:val="28"/>
                <w:szCs w:val="28"/>
              </w:rPr>
            </w:pPr>
            <w:r w:rsidRPr="00FD19CF">
              <w:rPr>
                <w:rFonts w:ascii="仿宋_GB2312" w:eastAsia="仿宋_GB2312" w:hAnsi="Times New Roman" w:hint="eastAsia"/>
                <w:sz w:val="28"/>
                <w:szCs w:val="28"/>
              </w:rPr>
              <w:t>城市和乡镇供水、污水处理及其再生利用；固体废物治理；环境保护与治理咨询服务；建材和机械设备及化工产品销售；电气设备和仪器仪表修理、技术推广服务。</w:t>
            </w:r>
          </w:p>
        </w:tc>
      </w:tr>
      <w:tr w:rsidR="009F7E1F" w:rsidRPr="002F2D60" w:rsidTr="00CA7AB4">
        <w:trPr>
          <w:trHeight w:val="404"/>
        </w:trPr>
        <w:tc>
          <w:tcPr>
            <w:tcW w:w="1809" w:type="dxa"/>
            <w:vMerge/>
            <w:shd w:val="clear" w:color="auto" w:fill="D9D9D9"/>
          </w:tcPr>
          <w:p w:rsidR="009F7E1F" w:rsidRPr="002F2D60" w:rsidRDefault="009F7E1F" w:rsidP="00CA7AB4">
            <w:pPr>
              <w:spacing w:line="500" w:lineRule="exact"/>
              <w:rPr>
                <w:rFonts w:ascii="仿宋_GB2312" w:eastAsia="仿宋_GB2312" w:hAnsi="Times New Roman"/>
                <w:sz w:val="28"/>
                <w:szCs w:val="28"/>
              </w:rPr>
            </w:pPr>
          </w:p>
        </w:tc>
        <w:tc>
          <w:tcPr>
            <w:tcW w:w="1796" w:type="dxa"/>
          </w:tcPr>
          <w:p w:rsidR="009F7E1F" w:rsidRPr="002F2D60" w:rsidRDefault="009F7E1F" w:rsidP="00C27BF9">
            <w:pPr>
              <w:spacing w:line="500" w:lineRule="exact"/>
              <w:rPr>
                <w:rFonts w:ascii="仿宋_GB2312" w:eastAsia="仿宋_GB2312" w:hAnsi="Times New Roman"/>
                <w:sz w:val="28"/>
                <w:szCs w:val="28"/>
              </w:rPr>
            </w:pPr>
            <w:r>
              <w:rPr>
                <w:rFonts w:ascii="仿宋_GB2312" w:eastAsia="仿宋_GB2312" w:hAnsi="Times New Roman" w:hint="eastAsia"/>
                <w:sz w:val="28"/>
                <w:szCs w:val="28"/>
              </w:rPr>
              <w:t>2.清新环境</w:t>
            </w:r>
          </w:p>
        </w:tc>
        <w:tc>
          <w:tcPr>
            <w:tcW w:w="5153" w:type="dxa"/>
          </w:tcPr>
          <w:p w:rsidR="009F7E1F" w:rsidRPr="002E4699" w:rsidRDefault="009F7E1F" w:rsidP="002E4699">
            <w:pPr>
              <w:spacing w:line="500" w:lineRule="exact"/>
              <w:rPr>
                <w:rFonts w:ascii="仿宋_GB2312" w:eastAsia="仿宋_GB2312" w:hAnsi="Times New Roman"/>
                <w:sz w:val="28"/>
                <w:szCs w:val="28"/>
              </w:rPr>
            </w:pPr>
            <w:r w:rsidRPr="002E4699">
              <w:rPr>
                <w:rFonts w:ascii="仿宋_GB2312" w:eastAsia="仿宋_GB2312" w:hAnsi="Times New Roman" w:hint="eastAsia"/>
                <w:sz w:val="28"/>
                <w:szCs w:val="28"/>
              </w:rPr>
              <w:t>1. 工业烟气治理：主要为燃煤火电脱硫脱硝除尘烟气，烟气除水；</w:t>
            </w:r>
          </w:p>
          <w:p w:rsidR="009F7E1F" w:rsidRPr="002E4699" w:rsidRDefault="009F7E1F" w:rsidP="002E4699">
            <w:pPr>
              <w:spacing w:line="500" w:lineRule="exact"/>
              <w:rPr>
                <w:rFonts w:ascii="仿宋_GB2312" w:eastAsia="仿宋_GB2312" w:hAnsi="Times New Roman"/>
                <w:sz w:val="28"/>
                <w:szCs w:val="28"/>
              </w:rPr>
            </w:pPr>
            <w:r w:rsidRPr="002E4699">
              <w:rPr>
                <w:rFonts w:ascii="仿宋_GB2312" w:eastAsia="仿宋_GB2312" w:hAnsi="Times New Roman" w:hint="eastAsia"/>
                <w:sz w:val="28"/>
                <w:szCs w:val="28"/>
              </w:rPr>
              <w:t>2. 资源综合利用：将脱硫石膏副产物用于建材等行业；</w:t>
            </w:r>
          </w:p>
          <w:p w:rsidR="009F7E1F" w:rsidRPr="002E4699" w:rsidRDefault="009F7E1F" w:rsidP="002E4699">
            <w:pPr>
              <w:spacing w:line="500" w:lineRule="exact"/>
              <w:rPr>
                <w:rFonts w:ascii="仿宋_GB2312" w:eastAsia="仿宋_GB2312" w:hAnsi="Times New Roman"/>
                <w:sz w:val="28"/>
                <w:szCs w:val="28"/>
              </w:rPr>
            </w:pPr>
            <w:r w:rsidRPr="002E4699">
              <w:rPr>
                <w:rFonts w:ascii="仿宋_GB2312" w:eastAsia="仿宋_GB2312" w:hAnsi="Times New Roman" w:hint="eastAsia"/>
                <w:sz w:val="28"/>
                <w:szCs w:val="28"/>
              </w:rPr>
              <w:t>3. 面向园区管委会的污水治理：有效处理废水脱硫的问题；</w:t>
            </w:r>
          </w:p>
          <w:p w:rsidR="009F7E1F" w:rsidRPr="002F2D60" w:rsidRDefault="009F7E1F" w:rsidP="002E4699">
            <w:pPr>
              <w:spacing w:line="500" w:lineRule="exact"/>
              <w:rPr>
                <w:rFonts w:ascii="仿宋_GB2312" w:eastAsia="仿宋_GB2312" w:hAnsi="Times New Roman"/>
                <w:sz w:val="28"/>
                <w:szCs w:val="28"/>
              </w:rPr>
            </w:pPr>
            <w:r w:rsidRPr="002E4699">
              <w:rPr>
                <w:rFonts w:ascii="仿宋_GB2312" w:eastAsia="仿宋_GB2312" w:hAnsi="Times New Roman" w:hint="eastAsia"/>
                <w:sz w:val="28"/>
                <w:szCs w:val="28"/>
              </w:rPr>
              <w:t>4. 固体废弃物处理、专业节能等。</w:t>
            </w:r>
          </w:p>
        </w:tc>
      </w:tr>
      <w:tr w:rsidR="009F7E1F" w:rsidRPr="002F2D60" w:rsidTr="00CA7AB4">
        <w:trPr>
          <w:trHeight w:val="279"/>
        </w:trPr>
        <w:tc>
          <w:tcPr>
            <w:tcW w:w="1809" w:type="dxa"/>
            <w:vMerge w:val="restart"/>
            <w:shd w:val="clear" w:color="auto" w:fill="D9D9D9"/>
          </w:tcPr>
          <w:p w:rsidR="009F7E1F" w:rsidRPr="002F2D60" w:rsidRDefault="009F7E1F" w:rsidP="00CA7AB4">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简易案件理由（</w:t>
            </w:r>
            <w:r>
              <w:rPr>
                <w:rFonts w:ascii="仿宋_GB2312" w:eastAsia="仿宋_GB2312" w:hAnsi="Times New Roman" w:hint="eastAsia"/>
                <w:sz w:val="28"/>
                <w:szCs w:val="28"/>
              </w:rPr>
              <w:t>可以单选，也可以多选</w:t>
            </w:r>
            <w:r w:rsidRPr="002F2D60">
              <w:rPr>
                <w:rFonts w:ascii="仿宋_GB2312" w:eastAsia="仿宋_GB2312" w:hAnsi="Times New Roman" w:hint="eastAsia"/>
                <w:sz w:val="28"/>
                <w:szCs w:val="28"/>
              </w:rPr>
              <w:t>）</w:t>
            </w:r>
          </w:p>
        </w:tc>
        <w:tc>
          <w:tcPr>
            <w:tcW w:w="6949" w:type="dxa"/>
            <w:gridSpan w:val="2"/>
          </w:tcPr>
          <w:p w:rsidR="009F7E1F" w:rsidRPr="002F2D60" w:rsidRDefault="009F7E1F" w:rsidP="00CA7AB4">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□1、在同一相关市场，所有参与集中的经营者所占市场份额之和小于15%。</w:t>
            </w:r>
          </w:p>
        </w:tc>
      </w:tr>
      <w:tr w:rsidR="009F7E1F" w:rsidRPr="002F2D60" w:rsidTr="00CA7AB4">
        <w:trPr>
          <w:trHeight w:val="330"/>
        </w:trPr>
        <w:tc>
          <w:tcPr>
            <w:tcW w:w="1809" w:type="dxa"/>
            <w:vMerge/>
            <w:shd w:val="clear" w:color="auto" w:fill="D9D9D9"/>
          </w:tcPr>
          <w:p w:rsidR="009F7E1F" w:rsidRPr="002F2D60" w:rsidRDefault="009F7E1F" w:rsidP="00CA7AB4">
            <w:pPr>
              <w:spacing w:line="500" w:lineRule="exact"/>
              <w:rPr>
                <w:rFonts w:ascii="仿宋_GB2312" w:eastAsia="仿宋_GB2312" w:hAnsi="Times New Roman"/>
                <w:sz w:val="28"/>
                <w:szCs w:val="28"/>
              </w:rPr>
            </w:pPr>
          </w:p>
        </w:tc>
        <w:tc>
          <w:tcPr>
            <w:tcW w:w="6949" w:type="dxa"/>
            <w:gridSpan w:val="2"/>
          </w:tcPr>
          <w:p w:rsidR="009F7E1F" w:rsidRPr="002F2D60" w:rsidRDefault="009F7E1F" w:rsidP="00CA7AB4">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□2、存在上下游关系的参与集中的经营者，在上下游市场所占的市场份额均小于25%。</w:t>
            </w:r>
          </w:p>
        </w:tc>
      </w:tr>
      <w:tr w:rsidR="009F7E1F" w:rsidRPr="002F2D60" w:rsidTr="00CA7AB4">
        <w:trPr>
          <w:trHeight w:val="285"/>
        </w:trPr>
        <w:tc>
          <w:tcPr>
            <w:tcW w:w="1809" w:type="dxa"/>
            <w:vMerge/>
            <w:shd w:val="clear" w:color="auto" w:fill="D9D9D9"/>
          </w:tcPr>
          <w:p w:rsidR="009F7E1F" w:rsidRPr="002F2D60" w:rsidRDefault="009F7E1F" w:rsidP="00CA7AB4">
            <w:pPr>
              <w:spacing w:line="500" w:lineRule="exact"/>
              <w:rPr>
                <w:rFonts w:ascii="仿宋_GB2312" w:eastAsia="仿宋_GB2312" w:hAnsi="Times New Roman"/>
                <w:sz w:val="28"/>
                <w:szCs w:val="28"/>
              </w:rPr>
            </w:pPr>
          </w:p>
        </w:tc>
        <w:tc>
          <w:tcPr>
            <w:tcW w:w="6949" w:type="dxa"/>
            <w:gridSpan w:val="2"/>
          </w:tcPr>
          <w:p w:rsidR="009F7E1F" w:rsidRPr="002F2D60" w:rsidRDefault="009F7E1F" w:rsidP="00CA7AB4">
            <w:pPr>
              <w:spacing w:line="500" w:lineRule="exact"/>
              <w:rPr>
                <w:rFonts w:ascii="仿宋_GB2312" w:eastAsia="仿宋_GB2312" w:hAnsi="Times New Roman"/>
                <w:sz w:val="28"/>
                <w:szCs w:val="28"/>
              </w:rPr>
            </w:pPr>
            <w:r w:rsidRPr="00673AB7">
              <w:rPr>
                <w:rFonts w:ascii="仿宋_GB2312" w:eastAsia="仿宋_GB2312" w:hAnsi="Times New Roman" w:hint="eastAsia"/>
                <w:sz w:val="28"/>
                <w:szCs w:val="28"/>
              </w:rPr>
              <w:sym w:font="Wingdings" w:char="F0FE"/>
            </w:r>
            <w:r w:rsidRPr="002F2D60">
              <w:rPr>
                <w:rFonts w:ascii="仿宋_GB2312" w:eastAsia="仿宋_GB2312" w:hAnsi="Times New Roman" w:hint="eastAsia"/>
                <w:sz w:val="28"/>
                <w:szCs w:val="28"/>
              </w:rPr>
              <w:t>3、不在同一相关市场、也不存在上下游关系的参与集</w:t>
            </w:r>
            <w:r w:rsidRPr="002F2D60">
              <w:rPr>
                <w:rFonts w:ascii="仿宋_GB2312" w:eastAsia="仿宋_GB2312" w:hAnsi="Times New Roman" w:hint="eastAsia"/>
                <w:sz w:val="28"/>
                <w:szCs w:val="28"/>
              </w:rPr>
              <w:lastRenderedPageBreak/>
              <w:t>中的经营者，在与交易有关的每个市场所占的份额均小于25%。</w:t>
            </w:r>
          </w:p>
        </w:tc>
      </w:tr>
      <w:tr w:rsidR="009F7E1F" w:rsidRPr="002F2D60" w:rsidTr="00CA7AB4">
        <w:trPr>
          <w:trHeight w:val="870"/>
        </w:trPr>
        <w:tc>
          <w:tcPr>
            <w:tcW w:w="1809" w:type="dxa"/>
            <w:vMerge/>
            <w:shd w:val="clear" w:color="auto" w:fill="D9D9D9"/>
          </w:tcPr>
          <w:p w:rsidR="009F7E1F" w:rsidRPr="002F2D60" w:rsidRDefault="009F7E1F" w:rsidP="00CA7AB4">
            <w:pPr>
              <w:spacing w:line="500" w:lineRule="exact"/>
              <w:rPr>
                <w:rFonts w:ascii="仿宋_GB2312" w:eastAsia="仿宋_GB2312" w:hAnsi="Times New Roman"/>
                <w:sz w:val="28"/>
                <w:szCs w:val="28"/>
              </w:rPr>
            </w:pPr>
          </w:p>
        </w:tc>
        <w:tc>
          <w:tcPr>
            <w:tcW w:w="6949" w:type="dxa"/>
            <w:gridSpan w:val="2"/>
          </w:tcPr>
          <w:p w:rsidR="009F7E1F" w:rsidRPr="002F2D60" w:rsidRDefault="009F7E1F" w:rsidP="00CA7AB4">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□4、参与集中的经营者在中国境外设立合营企业，合营企业不在中国境内从事经济活动。</w:t>
            </w:r>
          </w:p>
        </w:tc>
      </w:tr>
      <w:tr w:rsidR="009F7E1F" w:rsidRPr="002F2D60" w:rsidTr="00CA7AB4">
        <w:trPr>
          <w:trHeight w:val="264"/>
        </w:trPr>
        <w:tc>
          <w:tcPr>
            <w:tcW w:w="1809" w:type="dxa"/>
            <w:vMerge/>
            <w:shd w:val="clear" w:color="auto" w:fill="D9D9D9"/>
          </w:tcPr>
          <w:p w:rsidR="009F7E1F" w:rsidRPr="002F2D60" w:rsidRDefault="009F7E1F" w:rsidP="00CA7AB4">
            <w:pPr>
              <w:spacing w:line="500" w:lineRule="exact"/>
              <w:rPr>
                <w:rFonts w:ascii="仿宋_GB2312" w:eastAsia="仿宋_GB2312" w:hAnsi="Times New Roman"/>
                <w:sz w:val="28"/>
                <w:szCs w:val="28"/>
              </w:rPr>
            </w:pPr>
          </w:p>
        </w:tc>
        <w:tc>
          <w:tcPr>
            <w:tcW w:w="6949" w:type="dxa"/>
            <w:gridSpan w:val="2"/>
          </w:tcPr>
          <w:p w:rsidR="009F7E1F" w:rsidRPr="002F2D60" w:rsidRDefault="009F7E1F" w:rsidP="00CA7AB4">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□5、参与集中的经营者收购境外企业股权或资产的，该境外企业不在中国境内从事经济活动。</w:t>
            </w:r>
          </w:p>
        </w:tc>
      </w:tr>
      <w:tr w:rsidR="009F7E1F" w:rsidRPr="002F2D60" w:rsidTr="00CA7AB4">
        <w:trPr>
          <w:trHeight w:val="345"/>
        </w:trPr>
        <w:tc>
          <w:tcPr>
            <w:tcW w:w="1809" w:type="dxa"/>
            <w:vMerge/>
            <w:shd w:val="clear" w:color="auto" w:fill="D9D9D9"/>
          </w:tcPr>
          <w:p w:rsidR="009F7E1F" w:rsidRPr="002F2D60" w:rsidRDefault="009F7E1F" w:rsidP="00CA7AB4">
            <w:pPr>
              <w:spacing w:line="500" w:lineRule="exact"/>
              <w:rPr>
                <w:rFonts w:ascii="仿宋_GB2312" w:eastAsia="仿宋_GB2312" w:hAnsi="Times New Roman"/>
                <w:sz w:val="28"/>
                <w:szCs w:val="28"/>
              </w:rPr>
            </w:pPr>
          </w:p>
        </w:tc>
        <w:tc>
          <w:tcPr>
            <w:tcW w:w="6949" w:type="dxa"/>
            <w:gridSpan w:val="2"/>
          </w:tcPr>
          <w:p w:rsidR="009F7E1F" w:rsidRPr="002F2D60" w:rsidRDefault="009F7E1F" w:rsidP="00CA7AB4">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□6、由两个以上的经营者共同控制的合营企业，通过集中被其中一个或一个以上经营者控制。</w:t>
            </w:r>
          </w:p>
        </w:tc>
      </w:tr>
      <w:tr w:rsidR="009F7E1F" w:rsidRPr="002F2D60" w:rsidTr="00CA7AB4">
        <w:tc>
          <w:tcPr>
            <w:tcW w:w="1809" w:type="dxa"/>
            <w:shd w:val="clear" w:color="auto" w:fill="D9D9D9"/>
          </w:tcPr>
          <w:p w:rsidR="009F7E1F" w:rsidRPr="009364CC" w:rsidRDefault="009F7E1F" w:rsidP="00CA7AB4">
            <w:pPr>
              <w:spacing w:line="500" w:lineRule="exact"/>
              <w:rPr>
                <w:rFonts w:ascii="仿宋_GB2312" w:eastAsia="仿宋_GB2312" w:hAnsi="Times New Roman"/>
                <w:sz w:val="28"/>
                <w:szCs w:val="28"/>
              </w:rPr>
            </w:pPr>
            <w:r w:rsidRPr="009364CC">
              <w:rPr>
                <w:rFonts w:ascii="仿宋_GB2312" w:eastAsia="仿宋_GB2312" w:hAnsi="Times New Roman" w:hint="eastAsia"/>
                <w:sz w:val="28"/>
                <w:szCs w:val="28"/>
              </w:rPr>
              <w:t>备注</w:t>
            </w:r>
          </w:p>
        </w:tc>
        <w:tc>
          <w:tcPr>
            <w:tcW w:w="6949" w:type="dxa"/>
            <w:gridSpan w:val="2"/>
          </w:tcPr>
          <w:p w:rsidR="009F7E1F" w:rsidRPr="009364CC" w:rsidRDefault="009F7E1F" w:rsidP="00CA7AB4">
            <w:pPr>
              <w:spacing w:line="500" w:lineRule="exact"/>
              <w:rPr>
                <w:rFonts w:ascii="仿宋_GB2312" w:eastAsia="仿宋_GB2312" w:hAnsi="Times New Roman"/>
                <w:sz w:val="28"/>
                <w:szCs w:val="28"/>
              </w:rPr>
            </w:pPr>
            <w:r w:rsidRPr="009364CC">
              <w:rPr>
                <w:rFonts w:ascii="仿宋_GB2312" w:eastAsia="仿宋_GB2312" w:hAnsi="Times New Roman" w:hint="eastAsia"/>
                <w:sz w:val="28"/>
                <w:szCs w:val="28"/>
              </w:rPr>
              <w:t>1. 相关商品市场：</w:t>
            </w:r>
            <w:r w:rsidR="007E019E" w:rsidRPr="007E019E">
              <w:rPr>
                <w:rFonts w:ascii="仿宋_GB2312" w:eastAsia="仿宋_GB2312" w:hAnsi="Times New Roman" w:hint="eastAsia"/>
                <w:sz w:val="28"/>
                <w:szCs w:val="28"/>
              </w:rPr>
              <w:t>燃煤电厂烟气脱硫处理工程服务</w:t>
            </w:r>
          </w:p>
          <w:p w:rsidR="009F7E1F" w:rsidRPr="009364CC" w:rsidRDefault="00EC6F44" w:rsidP="00CA7AB4">
            <w:pPr>
              <w:spacing w:line="500" w:lineRule="exact"/>
              <w:rPr>
                <w:rFonts w:ascii="仿宋_GB2312" w:eastAsia="仿宋_GB2312" w:hAnsi="Times New Roman"/>
                <w:sz w:val="28"/>
                <w:szCs w:val="28"/>
              </w:rPr>
            </w:pPr>
            <w:r>
              <w:rPr>
                <w:rFonts w:ascii="仿宋_GB2312" w:eastAsia="仿宋_GB2312" w:hAnsi="Times New Roman" w:hint="eastAsia"/>
                <w:sz w:val="28"/>
                <w:szCs w:val="28"/>
              </w:rPr>
              <w:t>相关地域市场：中国</w:t>
            </w:r>
          </w:p>
          <w:p w:rsidR="009F7E1F" w:rsidRDefault="009F7E1F" w:rsidP="00CA7AB4">
            <w:pPr>
              <w:spacing w:line="500" w:lineRule="exact"/>
              <w:rPr>
                <w:rFonts w:ascii="仿宋_GB2312" w:eastAsia="仿宋_GB2312" w:hAnsi="Times New Roman"/>
                <w:sz w:val="28"/>
                <w:szCs w:val="28"/>
              </w:rPr>
            </w:pPr>
            <w:r w:rsidRPr="009364CC">
              <w:rPr>
                <w:rFonts w:ascii="仿宋_GB2312" w:eastAsia="仿宋_GB2312" w:hAnsi="Times New Roman" w:hint="eastAsia"/>
                <w:sz w:val="28"/>
                <w:szCs w:val="28"/>
              </w:rPr>
              <w:t>市场份额：</w:t>
            </w:r>
          </w:p>
          <w:p w:rsidR="009F7E1F" w:rsidRPr="005A42BD" w:rsidRDefault="009F7E1F" w:rsidP="005A42BD">
            <w:pPr>
              <w:spacing w:line="500" w:lineRule="exact"/>
              <w:rPr>
                <w:rFonts w:ascii="仿宋_GB2312" w:eastAsia="仿宋_GB2312" w:hAnsi="Times New Roman"/>
                <w:sz w:val="28"/>
                <w:szCs w:val="28"/>
              </w:rPr>
            </w:pPr>
            <w:r>
              <w:rPr>
                <w:rFonts w:ascii="仿宋_GB2312" w:eastAsia="仿宋_GB2312" w:hAnsi="Times New Roman" w:hint="eastAsia"/>
                <w:sz w:val="28"/>
                <w:szCs w:val="28"/>
              </w:rPr>
              <w:t>国润环境</w:t>
            </w:r>
            <w:r w:rsidRPr="009364CC">
              <w:rPr>
                <w:rFonts w:ascii="仿宋_GB2312" w:eastAsia="仿宋_GB2312" w:hAnsi="Times New Roman" w:hint="eastAsia"/>
                <w:sz w:val="28"/>
                <w:szCs w:val="28"/>
              </w:rPr>
              <w:t>[0-5%]</w:t>
            </w:r>
          </w:p>
          <w:p w:rsidR="009F7E1F" w:rsidRDefault="009F7E1F" w:rsidP="005A42BD">
            <w:pPr>
              <w:spacing w:line="500" w:lineRule="exact"/>
              <w:rPr>
                <w:rFonts w:ascii="仿宋_GB2312" w:eastAsia="仿宋_GB2312" w:hAnsi="Times New Roman"/>
                <w:sz w:val="28"/>
                <w:szCs w:val="28"/>
              </w:rPr>
            </w:pPr>
            <w:r>
              <w:rPr>
                <w:rFonts w:ascii="仿宋_GB2312" w:eastAsia="仿宋_GB2312" w:hAnsi="Times New Roman" w:hint="eastAsia"/>
                <w:sz w:val="28"/>
                <w:szCs w:val="28"/>
              </w:rPr>
              <w:t>清新环境[10-15</w:t>
            </w:r>
            <w:r w:rsidRPr="009364CC">
              <w:rPr>
                <w:rFonts w:ascii="仿宋_GB2312" w:eastAsia="仿宋_GB2312" w:hAnsi="Times New Roman" w:hint="eastAsia"/>
                <w:sz w:val="28"/>
                <w:szCs w:val="28"/>
              </w:rPr>
              <w:t>%]</w:t>
            </w:r>
          </w:p>
          <w:p w:rsidR="009F7E1F" w:rsidRPr="009364CC" w:rsidRDefault="009F7E1F" w:rsidP="00CA7AB4">
            <w:pPr>
              <w:spacing w:line="500" w:lineRule="exact"/>
              <w:rPr>
                <w:rFonts w:ascii="仿宋_GB2312" w:eastAsia="仿宋_GB2312" w:hAnsi="Times New Roman"/>
                <w:sz w:val="28"/>
                <w:szCs w:val="28"/>
              </w:rPr>
            </w:pPr>
          </w:p>
          <w:p w:rsidR="00B839BF" w:rsidRDefault="009F7E1F" w:rsidP="00CA7AB4">
            <w:pPr>
              <w:spacing w:line="500" w:lineRule="exact"/>
              <w:rPr>
                <w:rFonts w:ascii="仿宋_GB2312" w:eastAsia="仿宋_GB2312" w:hAnsi="Times New Roman" w:hint="eastAsia"/>
                <w:sz w:val="28"/>
                <w:szCs w:val="28"/>
              </w:rPr>
            </w:pPr>
            <w:r>
              <w:rPr>
                <w:rFonts w:ascii="仿宋_GB2312" w:eastAsia="仿宋_GB2312" w:hAnsi="Times New Roman"/>
                <w:sz w:val="28"/>
                <w:szCs w:val="28"/>
              </w:rPr>
              <w:t>2.</w:t>
            </w:r>
            <w:r>
              <w:rPr>
                <w:rFonts w:ascii="仿宋_GB2312" w:eastAsia="仿宋_GB2312" w:hAnsi="Times New Roman" w:hint="eastAsia"/>
                <w:sz w:val="28"/>
                <w:szCs w:val="28"/>
              </w:rPr>
              <w:t xml:space="preserve"> 相关商品市场：</w:t>
            </w:r>
            <w:r w:rsidR="00B839BF">
              <w:rPr>
                <w:rFonts w:ascii="仿宋_GB2312" w:eastAsia="仿宋_GB2312" w:hAnsi="Times New Roman" w:hint="eastAsia"/>
                <w:sz w:val="28"/>
                <w:szCs w:val="28"/>
              </w:rPr>
              <w:t>燃煤电厂烟气脱硝</w:t>
            </w:r>
            <w:r w:rsidR="00457106" w:rsidRPr="007E019E">
              <w:rPr>
                <w:rFonts w:ascii="仿宋_GB2312" w:eastAsia="仿宋_GB2312" w:hAnsi="Times New Roman" w:hint="eastAsia"/>
                <w:sz w:val="28"/>
                <w:szCs w:val="28"/>
              </w:rPr>
              <w:t>处理工程服务</w:t>
            </w:r>
          </w:p>
          <w:p w:rsidR="009F7E1F" w:rsidRDefault="00B839BF" w:rsidP="00CA7AB4">
            <w:pPr>
              <w:spacing w:line="500" w:lineRule="exact"/>
              <w:rPr>
                <w:rFonts w:ascii="仿宋_GB2312" w:eastAsia="仿宋_GB2312" w:hAnsi="Times New Roman"/>
                <w:sz w:val="28"/>
                <w:szCs w:val="28"/>
              </w:rPr>
            </w:pPr>
            <w:r>
              <w:rPr>
                <w:rFonts w:ascii="仿宋_GB2312" w:eastAsia="仿宋_GB2312" w:hAnsi="Times New Roman" w:hint="eastAsia"/>
                <w:sz w:val="28"/>
                <w:szCs w:val="28"/>
              </w:rPr>
              <w:t>相关地域市场：中国</w:t>
            </w:r>
            <w:bookmarkStart w:id="0" w:name="_GoBack"/>
            <w:bookmarkEnd w:id="0"/>
          </w:p>
          <w:p w:rsidR="009F7E1F" w:rsidRDefault="009F7E1F" w:rsidP="00CA7AB4">
            <w:pPr>
              <w:spacing w:line="500" w:lineRule="exact"/>
              <w:rPr>
                <w:rFonts w:ascii="仿宋_GB2312" w:eastAsia="仿宋_GB2312" w:hAnsi="Times New Roman"/>
                <w:sz w:val="28"/>
                <w:szCs w:val="28"/>
              </w:rPr>
            </w:pPr>
            <w:r>
              <w:rPr>
                <w:rFonts w:ascii="仿宋_GB2312" w:eastAsia="仿宋_GB2312" w:hAnsi="Times New Roman" w:hint="eastAsia"/>
                <w:sz w:val="28"/>
                <w:szCs w:val="28"/>
              </w:rPr>
              <w:t>市场份额：</w:t>
            </w:r>
          </w:p>
          <w:p w:rsidR="009F7E1F" w:rsidRPr="005A42BD" w:rsidRDefault="009F7E1F" w:rsidP="005A42BD">
            <w:pPr>
              <w:spacing w:line="500" w:lineRule="exact"/>
              <w:rPr>
                <w:rFonts w:ascii="仿宋_GB2312" w:eastAsia="仿宋_GB2312" w:hAnsi="Times New Roman"/>
                <w:sz w:val="28"/>
                <w:szCs w:val="28"/>
              </w:rPr>
            </w:pPr>
            <w:r>
              <w:rPr>
                <w:rFonts w:ascii="仿宋_GB2312" w:eastAsia="仿宋_GB2312" w:hAnsi="Times New Roman" w:hint="eastAsia"/>
                <w:sz w:val="28"/>
                <w:szCs w:val="28"/>
              </w:rPr>
              <w:t>国润环境</w:t>
            </w:r>
            <w:r w:rsidRPr="009364CC">
              <w:rPr>
                <w:rFonts w:ascii="仿宋_GB2312" w:eastAsia="仿宋_GB2312" w:hAnsi="Times New Roman" w:hint="eastAsia"/>
                <w:sz w:val="28"/>
                <w:szCs w:val="28"/>
              </w:rPr>
              <w:t>[0-5%]</w:t>
            </w:r>
          </w:p>
          <w:p w:rsidR="009F7E1F" w:rsidRPr="009364CC" w:rsidRDefault="009F7E1F" w:rsidP="00CA7AB4">
            <w:pPr>
              <w:spacing w:line="500" w:lineRule="exact"/>
              <w:rPr>
                <w:rFonts w:ascii="仿宋_GB2312" w:eastAsia="仿宋_GB2312" w:hAnsi="Times New Roman"/>
                <w:sz w:val="28"/>
                <w:szCs w:val="28"/>
              </w:rPr>
            </w:pPr>
            <w:r>
              <w:rPr>
                <w:rFonts w:ascii="仿宋_GB2312" w:eastAsia="仿宋_GB2312" w:hAnsi="Times New Roman" w:hint="eastAsia"/>
                <w:sz w:val="28"/>
                <w:szCs w:val="28"/>
              </w:rPr>
              <w:t>清新环境</w:t>
            </w:r>
            <w:r w:rsidRPr="009364CC">
              <w:rPr>
                <w:rFonts w:ascii="仿宋_GB2312" w:eastAsia="仿宋_GB2312" w:hAnsi="Times New Roman" w:hint="eastAsia"/>
                <w:sz w:val="28"/>
                <w:szCs w:val="28"/>
              </w:rPr>
              <w:t>[0-5%]</w:t>
            </w:r>
          </w:p>
        </w:tc>
      </w:tr>
    </w:tbl>
    <w:p w:rsidR="00047214" w:rsidRDefault="00047214" w:rsidP="00047214">
      <w:pPr>
        <w:snapToGrid w:val="0"/>
        <w:spacing w:line="240" w:lineRule="exact"/>
        <w:jc w:val="left"/>
        <w:rPr>
          <w:rFonts w:ascii="楷体_GB2312" w:eastAsia="楷体_GB2312" w:hAnsi="宋体"/>
          <w:sz w:val="24"/>
          <w:szCs w:val="24"/>
        </w:rPr>
      </w:pPr>
    </w:p>
    <w:p w:rsidR="00047214" w:rsidRPr="00BB2377" w:rsidRDefault="00047214" w:rsidP="00047214">
      <w:pPr>
        <w:snapToGrid w:val="0"/>
        <w:spacing w:line="240" w:lineRule="exact"/>
        <w:jc w:val="left"/>
        <w:rPr>
          <w:rFonts w:ascii="楷体_GB2312" w:eastAsia="楷体_GB2312" w:hAnsi="宋体"/>
          <w:sz w:val="24"/>
          <w:szCs w:val="24"/>
        </w:rPr>
      </w:pPr>
      <w:r w:rsidRPr="00BB2377">
        <w:rPr>
          <w:rFonts w:ascii="楷体_GB2312" w:eastAsia="楷体_GB2312" w:hAnsi="宋体" w:hint="eastAsia"/>
          <w:sz w:val="24"/>
          <w:szCs w:val="24"/>
        </w:rPr>
        <w:t>注解：</w:t>
      </w:r>
    </w:p>
    <w:p w:rsidR="00047214" w:rsidRPr="00BB2377" w:rsidRDefault="00047214" w:rsidP="00047214">
      <w:pPr>
        <w:snapToGrid w:val="0"/>
        <w:spacing w:line="360" w:lineRule="auto"/>
        <w:ind w:firstLineChars="200" w:firstLine="480"/>
        <w:jc w:val="left"/>
        <w:rPr>
          <w:rFonts w:ascii="楷体_GB2312" w:eastAsia="楷体_GB2312" w:hAnsi="宋体"/>
          <w:sz w:val="24"/>
          <w:szCs w:val="24"/>
        </w:rPr>
      </w:pPr>
      <w:r w:rsidRPr="00BB2377">
        <w:rPr>
          <w:rFonts w:ascii="楷体_GB2312" w:eastAsia="楷体_GB2312" w:hAnsi="宋体"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rsidR="00047214" w:rsidRPr="00BB2377" w:rsidRDefault="00047214" w:rsidP="00047214">
      <w:pPr>
        <w:spacing w:line="360" w:lineRule="auto"/>
        <w:ind w:firstLineChars="200" w:firstLine="480"/>
        <w:rPr>
          <w:rFonts w:ascii="楷体_GB2312" w:eastAsia="楷体_GB2312" w:hAnsi="Times New Roman"/>
          <w:sz w:val="28"/>
          <w:szCs w:val="28"/>
        </w:rPr>
      </w:pPr>
      <w:r w:rsidRPr="00BB2377">
        <w:rPr>
          <w:rFonts w:ascii="楷体_GB2312" w:eastAsia="楷体_GB2312" w:hAnsi="宋体" w:hint="eastAsia"/>
          <w:sz w:val="24"/>
          <w:szCs w:val="24"/>
        </w:rPr>
        <w:t>2、申报方申请简易案件的理由是基于第4项、第5项时，无须在备注中说明相关市场和市场份额。</w:t>
      </w:r>
      <w:r w:rsidRPr="00BB2377">
        <w:rPr>
          <w:rFonts w:ascii="楷体_GB2312" w:eastAsia="楷体_GB2312" w:hAnsi="宋体" w:hint="eastAsia"/>
          <w:sz w:val="24"/>
          <w:szCs w:val="24"/>
        </w:rPr>
        <w:br/>
        <w:t xml:space="preserve">    3、由两个或两个以上经营者共同控制的合营企业，通过集中被其中的一个经营者控制，如果该经营者与合营企业属于同一相关市场的竞争者，则申报方在</w:t>
      </w:r>
      <w:r w:rsidRPr="00BB2377">
        <w:rPr>
          <w:rFonts w:ascii="楷体_GB2312" w:eastAsia="楷体_GB2312" w:hAnsi="宋体" w:hint="eastAsia"/>
          <w:sz w:val="24"/>
          <w:szCs w:val="24"/>
        </w:rPr>
        <w:lastRenderedPageBreak/>
        <w:t>申请简易案件时，须同时勾选第1项和第6项理由，并在备注中说明界定的相关商品市场和相关地域市场（无须阐述界定理由），以及相关市场份额。市场份额可以区间形式提供，区间幅度不应超过5%。</w:t>
      </w:r>
    </w:p>
    <w:p w:rsidR="00047214" w:rsidRDefault="00047214" w:rsidP="00047214"/>
    <w:p w:rsidR="00047214" w:rsidRDefault="00047214">
      <w:pPr>
        <w:widowControl/>
        <w:jc w:val="left"/>
        <w:rPr>
          <w:rFonts w:ascii="宋体" w:eastAsia="宋体" w:hAnsi="宋体" w:cs="宋体"/>
          <w:kern w:val="0"/>
          <w:sz w:val="24"/>
          <w:szCs w:val="24"/>
        </w:rPr>
      </w:pPr>
    </w:p>
    <w:sectPr w:rsidR="000472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4790" w:rsidRDefault="00064790" w:rsidP="00C9094B">
      <w:r>
        <w:separator/>
      </w:r>
    </w:p>
  </w:endnote>
  <w:endnote w:type="continuationSeparator" w:id="0">
    <w:p w:rsidR="00064790" w:rsidRDefault="00064790" w:rsidP="00C90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4790" w:rsidRDefault="00064790" w:rsidP="00C9094B">
      <w:r>
        <w:separator/>
      </w:r>
    </w:p>
  </w:footnote>
  <w:footnote w:type="continuationSeparator" w:id="0">
    <w:p w:rsidR="00064790" w:rsidRDefault="00064790" w:rsidP="00C9094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7129"/>
    <w:rsid w:val="00030C4C"/>
    <w:rsid w:val="00041D93"/>
    <w:rsid w:val="00044939"/>
    <w:rsid w:val="00047214"/>
    <w:rsid w:val="0005529C"/>
    <w:rsid w:val="00057991"/>
    <w:rsid w:val="00064790"/>
    <w:rsid w:val="0006584C"/>
    <w:rsid w:val="000A2B37"/>
    <w:rsid w:val="000B6C14"/>
    <w:rsid w:val="000E6D12"/>
    <w:rsid w:val="000F49EC"/>
    <w:rsid w:val="001A1DA1"/>
    <w:rsid w:val="001B118B"/>
    <w:rsid w:val="001D1991"/>
    <w:rsid w:val="001D4D4C"/>
    <w:rsid w:val="001E1942"/>
    <w:rsid w:val="0020056B"/>
    <w:rsid w:val="00214D59"/>
    <w:rsid w:val="0025435B"/>
    <w:rsid w:val="002567ED"/>
    <w:rsid w:val="002761E0"/>
    <w:rsid w:val="002D39B9"/>
    <w:rsid w:val="002E4699"/>
    <w:rsid w:val="002F13FC"/>
    <w:rsid w:val="00321C36"/>
    <w:rsid w:val="003D7129"/>
    <w:rsid w:val="0042325E"/>
    <w:rsid w:val="00430BCC"/>
    <w:rsid w:val="004332BB"/>
    <w:rsid w:val="00456EE1"/>
    <w:rsid w:val="00457106"/>
    <w:rsid w:val="0046056C"/>
    <w:rsid w:val="004D3C84"/>
    <w:rsid w:val="004D46E0"/>
    <w:rsid w:val="005311BE"/>
    <w:rsid w:val="00550429"/>
    <w:rsid w:val="00557BE1"/>
    <w:rsid w:val="00570F28"/>
    <w:rsid w:val="005717AA"/>
    <w:rsid w:val="00572B93"/>
    <w:rsid w:val="00597975"/>
    <w:rsid w:val="005A33AE"/>
    <w:rsid w:val="005A3C5E"/>
    <w:rsid w:val="005A42BD"/>
    <w:rsid w:val="005B7DA9"/>
    <w:rsid w:val="00603489"/>
    <w:rsid w:val="00607C5F"/>
    <w:rsid w:val="00656878"/>
    <w:rsid w:val="00667F52"/>
    <w:rsid w:val="00673AB7"/>
    <w:rsid w:val="00695F99"/>
    <w:rsid w:val="006B7828"/>
    <w:rsid w:val="006C2620"/>
    <w:rsid w:val="006C7070"/>
    <w:rsid w:val="006E3942"/>
    <w:rsid w:val="00721478"/>
    <w:rsid w:val="00721AA7"/>
    <w:rsid w:val="00786D87"/>
    <w:rsid w:val="007E019E"/>
    <w:rsid w:val="007E1B77"/>
    <w:rsid w:val="00811808"/>
    <w:rsid w:val="00831371"/>
    <w:rsid w:val="008561A3"/>
    <w:rsid w:val="008625C8"/>
    <w:rsid w:val="00870D34"/>
    <w:rsid w:val="008B7C98"/>
    <w:rsid w:val="008C5092"/>
    <w:rsid w:val="008D0A5D"/>
    <w:rsid w:val="008F32F4"/>
    <w:rsid w:val="009364CC"/>
    <w:rsid w:val="009464EB"/>
    <w:rsid w:val="00947165"/>
    <w:rsid w:val="009663AC"/>
    <w:rsid w:val="0097506D"/>
    <w:rsid w:val="009F4519"/>
    <w:rsid w:val="009F7E1F"/>
    <w:rsid w:val="00A03062"/>
    <w:rsid w:val="00A406C9"/>
    <w:rsid w:val="00A56FCA"/>
    <w:rsid w:val="00B10910"/>
    <w:rsid w:val="00B22835"/>
    <w:rsid w:val="00B35B5B"/>
    <w:rsid w:val="00B839BF"/>
    <w:rsid w:val="00BD010C"/>
    <w:rsid w:val="00BE2A99"/>
    <w:rsid w:val="00C246FB"/>
    <w:rsid w:val="00C27020"/>
    <w:rsid w:val="00C27BF9"/>
    <w:rsid w:val="00C9094B"/>
    <w:rsid w:val="00CA7920"/>
    <w:rsid w:val="00CB0FD3"/>
    <w:rsid w:val="00CF6B17"/>
    <w:rsid w:val="00CF73BD"/>
    <w:rsid w:val="00D162E5"/>
    <w:rsid w:val="00D43E8E"/>
    <w:rsid w:val="00D503AA"/>
    <w:rsid w:val="00D65AF0"/>
    <w:rsid w:val="00DD7425"/>
    <w:rsid w:val="00E52D62"/>
    <w:rsid w:val="00E97096"/>
    <w:rsid w:val="00EC6F44"/>
    <w:rsid w:val="00EE5570"/>
    <w:rsid w:val="00F007F8"/>
    <w:rsid w:val="00F00E9F"/>
    <w:rsid w:val="00F863C6"/>
    <w:rsid w:val="00FA5F94"/>
    <w:rsid w:val="00FD0997"/>
    <w:rsid w:val="00FD19CF"/>
    <w:rsid w:val="00FD4C93"/>
    <w:rsid w:val="00FF5D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endnote reference" w:uiPriority="0"/>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CF6B17"/>
    <w:pPr>
      <w:widowControl/>
      <w:jc w:val="left"/>
      <w:outlineLvl w:val="0"/>
    </w:pPr>
    <w:rPr>
      <w:rFonts w:ascii="宋体" w:eastAsia="宋体" w:hAnsi="宋体" w:cs="宋体"/>
      <w:b/>
      <w:bCs/>
      <w:kern w:val="36"/>
      <w:sz w:val="48"/>
      <w:szCs w:val="48"/>
    </w:rPr>
  </w:style>
  <w:style w:type="paragraph" w:styleId="3">
    <w:name w:val="heading 3"/>
    <w:basedOn w:val="a"/>
    <w:link w:val="3Char"/>
    <w:uiPriority w:val="9"/>
    <w:qFormat/>
    <w:rsid w:val="00CF6B17"/>
    <w:pPr>
      <w:widowControl/>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CF6B17"/>
    <w:rPr>
      <w:rFonts w:ascii="宋体" w:eastAsia="宋体" w:hAnsi="宋体" w:cs="宋体"/>
      <w:b/>
      <w:bCs/>
      <w:kern w:val="36"/>
      <w:sz w:val="48"/>
      <w:szCs w:val="48"/>
    </w:rPr>
  </w:style>
  <w:style w:type="character" w:customStyle="1" w:styleId="3Char">
    <w:name w:val="标题 3 Char"/>
    <w:basedOn w:val="a0"/>
    <w:link w:val="3"/>
    <w:uiPriority w:val="9"/>
    <w:rsid w:val="00CF6B17"/>
    <w:rPr>
      <w:rFonts w:ascii="宋体" w:eastAsia="宋体" w:hAnsi="宋体" w:cs="宋体"/>
      <w:b/>
      <w:bCs/>
      <w:kern w:val="0"/>
      <w:sz w:val="27"/>
      <w:szCs w:val="27"/>
    </w:rPr>
  </w:style>
  <w:style w:type="character" w:styleId="a3">
    <w:name w:val="Hyperlink"/>
    <w:basedOn w:val="a0"/>
    <w:uiPriority w:val="99"/>
    <w:semiHidden/>
    <w:unhideWhenUsed/>
    <w:rsid w:val="00CF6B17"/>
    <w:rPr>
      <w:strike w:val="0"/>
      <w:dstrike w:val="0"/>
      <w:color w:val="005C81"/>
      <w:u w:val="none"/>
      <w:effect w:val="none"/>
    </w:rPr>
  </w:style>
  <w:style w:type="paragraph" w:styleId="a4">
    <w:name w:val="Normal (Web)"/>
    <w:basedOn w:val="a"/>
    <w:uiPriority w:val="99"/>
    <w:semiHidden/>
    <w:unhideWhenUsed/>
    <w:rsid w:val="00CF6B17"/>
    <w:pPr>
      <w:widowControl/>
      <w:jc w:val="left"/>
    </w:pPr>
    <w:rPr>
      <w:rFonts w:ascii="宋体" w:eastAsia="宋体" w:hAnsi="宋体" w:cs="宋体"/>
      <w:kern w:val="0"/>
      <w:sz w:val="24"/>
      <w:szCs w:val="24"/>
    </w:rPr>
  </w:style>
  <w:style w:type="character" w:customStyle="1" w:styleId="fr1">
    <w:name w:val="fr1"/>
    <w:basedOn w:val="a0"/>
    <w:rsid w:val="00CF6B17"/>
    <w:rPr>
      <w:vanish w:val="0"/>
      <w:webHidden w:val="0"/>
      <w:specVanish w:val="0"/>
    </w:rPr>
  </w:style>
  <w:style w:type="paragraph" w:styleId="a5">
    <w:name w:val="footnote text"/>
    <w:basedOn w:val="a"/>
    <w:link w:val="Char"/>
    <w:rsid w:val="00C9094B"/>
    <w:pPr>
      <w:snapToGrid w:val="0"/>
      <w:jc w:val="left"/>
    </w:pPr>
    <w:rPr>
      <w:rFonts w:ascii="Times New Roman" w:eastAsia="宋体" w:hAnsi="Times New Roman" w:cs="Times New Roman"/>
      <w:sz w:val="18"/>
      <w:szCs w:val="18"/>
      <w:lang w:val="x-none" w:eastAsia="x-none"/>
    </w:rPr>
  </w:style>
  <w:style w:type="character" w:customStyle="1" w:styleId="Char">
    <w:name w:val="脚注文本 Char"/>
    <w:basedOn w:val="a0"/>
    <w:link w:val="a5"/>
    <w:rsid w:val="00C9094B"/>
    <w:rPr>
      <w:rFonts w:ascii="Times New Roman" w:eastAsia="宋体" w:hAnsi="Times New Roman" w:cs="Times New Roman"/>
      <w:sz w:val="18"/>
      <w:szCs w:val="18"/>
      <w:lang w:val="x-none" w:eastAsia="x-none"/>
    </w:rPr>
  </w:style>
  <w:style w:type="paragraph" w:styleId="a6">
    <w:name w:val="endnote text"/>
    <w:basedOn w:val="a"/>
    <w:link w:val="Char0"/>
    <w:rsid w:val="00C9094B"/>
    <w:pPr>
      <w:snapToGrid w:val="0"/>
      <w:jc w:val="left"/>
    </w:pPr>
    <w:rPr>
      <w:rFonts w:ascii="Times New Roman" w:eastAsia="宋体" w:hAnsi="Times New Roman" w:cs="Times New Roman"/>
      <w:szCs w:val="24"/>
      <w:lang w:val="x-none" w:eastAsia="x-none"/>
    </w:rPr>
  </w:style>
  <w:style w:type="character" w:customStyle="1" w:styleId="Char0">
    <w:name w:val="尾注文本 Char"/>
    <w:basedOn w:val="a0"/>
    <w:link w:val="a6"/>
    <w:rsid w:val="00C9094B"/>
    <w:rPr>
      <w:rFonts w:ascii="Times New Roman" w:eastAsia="宋体" w:hAnsi="Times New Roman" w:cs="Times New Roman"/>
      <w:szCs w:val="24"/>
      <w:lang w:val="x-none" w:eastAsia="x-none"/>
    </w:rPr>
  </w:style>
  <w:style w:type="character" w:styleId="a7">
    <w:name w:val="endnote reference"/>
    <w:rsid w:val="00C9094B"/>
    <w:rPr>
      <w:vertAlign w:val="superscript"/>
    </w:rPr>
  </w:style>
  <w:style w:type="paragraph" w:styleId="a8">
    <w:name w:val="header"/>
    <w:basedOn w:val="a"/>
    <w:link w:val="Char1"/>
    <w:uiPriority w:val="99"/>
    <w:unhideWhenUsed/>
    <w:rsid w:val="00044939"/>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8"/>
    <w:uiPriority w:val="99"/>
    <w:rsid w:val="00044939"/>
    <w:rPr>
      <w:sz w:val="18"/>
      <w:szCs w:val="18"/>
    </w:rPr>
  </w:style>
  <w:style w:type="paragraph" w:styleId="a9">
    <w:name w:val="footer"/>
    <w:basedOn w:val="a"/>
    <w:link w:val="Char2"/>
    <w:uiPriority w:val="99"/>
    <w:unhideWhenUsed/>
    <w:rsid w:val="00044939"/>
    <w:pPr>
      <w:tabs>
        <w:tab w:val="center" w:pos="4153"/>
        <w:tab w:val="right" w:pos="8306"/>
      </w:tabs>
      <w:snapToGrid w:val="0"/>
      <w:jc w:val="left"/>
    </w:pPr>
    <w:rPr>
      <w:sz w:val="18"/>
      <w:szCs w:val="18"/>
    </w:rPr>
  </w:style>
  <w:style w:type="character" w:customStyle="1" w:styleId="Char2">
    <w:name w:val="页脚 Char"/>
    <w:basedOn w:val="a0"/>
    <w:link w:val="a9"/>
    <w:uiPriority w:val="99"/>
    <w:rsid w:val="00044939"/>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endnote reference" w:uiPriority="0"/>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CF6B17"/>
    <w:pPr>
      <w:widowControl/>
      <w:jc w:val="left"/>
      <w:outlineLvl w:val="0"/>
    </w:pPr>
    <w:rPr>
      <w:rFonts w:ascii="宋体" w:eastAsia="宋体" w:hAnsi="宋体" w:cs="宋体"/>
      <w:b/>
      <w:bCs/>
      <w:kern w:val="36"/>
      <w:sz w:val="48"/>
      <w:szCs w:val="48"/>
    </w:rPr>
  </w:style>
  <w:style w:type="paragraph" w:styleId="3">
    <w:name w:val="heading 3"/>
    <w:basedOn w:val="a"/>
    <w:link w:val="3Char"/>
    <w:uiPriority w:val="9"/>
    <w:qFormat/>
    <w:rsid w:val="00CF6B17"/>
    <w:pPr>
      <w:widowControl/>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CF6B17"/>
    <w:rPr>
      <w:rFonts w:ascii="宋体" w:eastAsia="宋体" w:hAnsi="宋体" w:cs="宋体"/>
      <w:b/>
      <w:bCs/>
      <w:kern w:val="36"/>
      <w:sz w:val="48"/>
      <w:szCs w:val="48"/>
    </w:rPr>
  </w:style>
  <w:style w:type="character" w:customStyle="1" w:styleId="3Char">
    <w:name w:val="标题 3 Char"/>
    <w:basedOn w:val="a0"/>
    <w:link w:val="3"/>
    <w:uiPriority w:val="9"/>
    <w:rsid w:val="00CF6B17"/>
    <w:rPr>
      <w:rFonts w:ascii="宋体" w:eastAsia="宋体" w:hAnsi="宋体" w:cs="宋体"/>
      <w:b/>
      <w:bCs/>
      <w:kern w:val="0"/>
      <w:sz w:val="27"/>
      <w:szCs w:val="27"/>
    </w:rPr>
  </w:style>
  <w:style w:type="character" w:styleId="a3">
    <w:name w:val="Hyperlink"/>
    <w:basedOn w:val="a0"/>
    <w:uiPriority w:val="99"/>
    <w:semiHidden/>
    <w:unhideWhenUsed/>
    <w:rsid w:val="00CF6B17"/>
    <w:rPr>
      <w:strike w:val="0"/>
      <w:dstrike w:val="0"/>
      <w:color w:val="005C81"/>
      <w:u w:val="none"/>
      <w:effect w:val="none"/>
    </w:rPr>
  </w:style>
  <w:style w:type="paragraph" w:styleId="a4">
    <w:name w:val="Normal (Web)"/>
    <w:basedOn w:val="a"/>
    <w:uiPriority w:val="99"/>
    <w:semiHidden/>
    <w:unhideWhenUsed/>
    <w:rsid w:val="00CF6B17"/>
    <w:pPr>
      <w:widowControl/>
      <w:jc w:val="left"/>
    </w:pPr>
    <w:rPr>
      <w:rFonts w:ascii="宋体" w:eastAsia="宋体" w:hAnsi="宋体" w:cs="宋体"/>
      <w:kern w:val="0"/>
      <w:sz w:val="24"/>
      <w:szCs w:val="24"/>
    </w:rPr>
  </w:style>
  <w:style w:type="character" w:customStyle="1" w:styleId="fr1">
    <w:name w:val="fr1"/>
    <w:basedOn w:val="a0"/>
    <w:rsid w:val="00CF6B17"/>
    <w:rPr>
      <w:vanish w:val="0"/>
      <w:webHidden w:val="0"/>
      <w:specVanish w:val="0"/>
    </w:rPr>
  </w:style>
  <w:style w:type="paragraph" w:styleId="a5">
    <w:name w:val="footnote text"/>
    <w:basedOn w:val="a"/>
    <w:link w:val="Char"/>
    <w:rsid w:val="00C9094B"/>
    <w:pPr>
      <w:snapToGrid w:val="0"/>
      <w:jc w:val="left"/>
    </w:pPr>
    <w:rPr>
      <w:rFonts w:ascii="Times New Roman" w:eastAsia="宋体" w:hAnsi="Times New Roman" w:cs="Times New Roman"/>
      <w:sz w:val="18"/>
      <w:szCs w:val="18"/>
      <w:lang w:val="x-none" w:eastAsia="x-none"/>
    </w:rPr>
  </w:style>
  <w:style w:type="character" w:customStyle="1" w:styleId="Char">
    <w:name w:val="脚注文本 Char"/>
    <w:basedOn w:val="a0"/>
    <w:link w:val="a5"/>
    <w:rsid w:val="00C9094B"/>
    <w:rPr>
      <w:rFonts w:ascii="Times New Roman" w:eastAsia="宋体" w:hAnsi="Times New Roman" w:cs="Times New Roman"/>
      <w:sz w:val="18"/>
      <w:szCs w:val="18"/>
      <w:lang w:val="x-none" w:eastAsia="x-none"/>
    </w:rPr>
  </w:style>
  <w:style w:type="paragraph" w:styleId="a6">
    <w:name w:val="endnote text"/>
    <w:basedOn w:val="a"/>
    <w:link w:val="Char0"/>
    <w:rsid w:val="00C9094B"/>
    <w:pPr>
      <w:snapToGrid w:val="0"/>
      <w:jc w:val="left"/>
    </w:pPr>
    <w:rPr>
      <w:rFonts w:ascii="Times New Roman" w:eastAsia="宋体" w:hAnsi="Times New Roman" w:cs="Times New Roman"/>
      <w:szCs w:val="24"/>
      <w:lang w:val="x-none" w:eastAsia="x-none"/>
    </w:rPr>
  </w:style>
  <w:style w:type="character" w:customStyle="1" w:styleId="Char0">
    <w:name w:val="尾注文本 Char"/>
    <w:basedOn w:val="a0"/>
    <w:link w:val="a6"/>
    <w:rsid w:val="00C9094B"/>
    <w:rPr>
      <w:rFonts w:ascii="Times New Roman" w:eastAsia="宋体" w:hAnsi="Times New Roman" w:cs="Times New Roman"/>
      <w:szCs w:val="24"/>
      <w:lang w:val="x-none" w:eastAsia="x-none"/>
    </w:rPr>
  </w:style>
  <w:style w:type="character" w:styleId="a7">
    <w:name w:val="endnote reference"/>
    <w:rsid w:val="00C9094B"/>
    <w:rPr>
      <w:vertAlign w:val="superscript"/>
    </w:rPr>
  </w:style>
  <w:style w:type="paragraph" w:styleId="a8">
    <w:name w:val="header"/>
    <w:basedOn w:val="a"/>
    <w:link w:val="Char1"/>
    <w:uiPriority w:val="99"/>
    <w:unhideWhenUsed/>
    <w:rsid w:val="00044939"/>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8"/>
    <w:uiPriority w:val="99"/>
    <w:rsid w:val="00044939"/>
    <w:rPr>
      <w:sz w:val="18"/>
      <w:szCs w:val="18"/>
    </w:rPr>
  </w:style>
  <w:style w:type="paragraph" w:styleId="a9">
    <w:name w:val="footer"/>
    <w:basedOn w:val="a"/>
    <w:link w:val="Char2"/>
    <w:uiPriority w:val="99"/>
    <w:unhideWhenUsed/>
    <w:rsid w:val="00044939"/>
    <w:pPr>
      <w:tabs>
        <w:tab w:val="center" w:pos="4153"/>
        <w:tab w:val="right" w:pos="8306"/>
      </w:tabs>
      <w:snapToGrid w:val="0"/>
      <w:jc w:val="left"/>
    </w:pPr>
    <w:rPr>
      <w:sz w:val="18"/>
      <w:szCs w:val="18"/>
    </w:rPr>
  </w:style>
  <w:style w:type="character" w:customStyle="1" w:styleId="Char2">
    <w:name w:val="页脚 Char"/>
    <w:basedOn w:val="a0"/>
    <w:link w:val="a9"/>
    <w:uiPriority w:val="99"/>
    <w:rsid w:val="000449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0887351">
      <w:bodyDiv w:val="1"/>
      <w:marLeft w:val="0"/>
      <w:marRight w:val="0"/>
      <w:marTop w:val="0"/>
      <w:marBottom w:val="0"/>
      <w:divBdr>
        <w:top w:val="none" w:sz="0" w:space="0" w:color="auto"/>
        <w:left w:val="none" w:sz="0" w:space="0" w:color="auto"/>
        <w:bottom w:val="none" w:sz="0" w:space="0" w:color="auto"/>
        <w:right w:val="none" w:sz="0" w:space="0" w:color="auto"/>
      </w:divBdr>
      <w:divsChild>
        <w:div w:id="108204224">
          <w:marLeft w:val="0"/>
          <w:marRight w:val="0"/>
          <w:marTop w:val="0"/>
          <w:marBottom w:val="0"/>
          <w:divBdr>
            <w:top w:val="none" w:sz="0" w:space="0" w:color="auto"/>
            <w:left w:val="none" w:sz="0" w:space="0" w:color="auto"/>
            <w:bottom w:val="none" w:sz="0" w:space="0" w:color="auto"/>
            <w:right w:val="none" w:sz="0" w:space="0" w:color="auto"/>
          </w:divBdr>
          <w:divsChild>
            <w:div w:id="889531936">
              <w:marLeft w:val="0"/>
              <w:marRight w:val="0"/>
              <w:marTop w:val="0"/>
              <w:marBottom w:val="0"/>
              <w:divBdr>
                <w:top w:val="none" w:sz="0" w:space="0" w:color="auto"/>
                <w:left w:val="none" w:sz="0" w:space="0" w:color="auto"/>
                <w:bottom w:val="none" w:sz="0" w:space="0" w:color="auto"/>
                <w:right w:val="none" w:sz="0" w:space="0" w:color="auto"/>
              </w:divBdr>
              <w:divsChild>
                <w:div w:id="154106486">
                  <w:marLeft w:val="0"/>
                  <w:marRight w:val="0"/>
                  <w:marTop w:val="0"/>
                  <w:marBottom w:val="0"/>
                  <w:divBdr>
                    <w:top w:val="none" w:sz="0" w:space="0" w:color="auto"/>
                    <w:left w:val="none" w:sz="0" w:space="0" w:color="auto"/>
                    <w:bottom w:val="none" w:sz="0" w:space="0" w:color="auto"/>
                    <w:right w:val="none" w:sz="0" w:space="0" w:color="auto"/>
                  </w:divBdr>
                  <w:divsChild>
                    <w:div w:id="1532525174">
                      <w:marLeft w:val="0"/>
                      <w:marRight w:val="0"/>
                      <w:marTop w:val="0"/>
                      <w:marBottom w:val="0"/>
                      <w:divBdr>
                        <w:top w:val="none" w:sz="0" w:space="0" w:color="auto"/>
                        <w:left w:val="none" w:sz="0" w:space="0" w:color="auto"/>
                        <w:bottom w:val="none" w:sz="0" w:space="0" w:color="auto"/>
                        <w:right w:val="none" w:sz="0" w:space="0" w:color="auto"/>
                      </w:divBdr>
                    </w:div>
                    <w:div w:id="604118190">
                      <w:marLeft w:val="0"/>
                      <w:marRight w:val="0"/>
                      <w:marTop w:val="0"/>
                      <w:marBottom w:val="0"/>
                      <w:divBdr>
                        <w:top w:val="none" w:sz="0" w:space="0" w:color="auto"/>
                        <w:left w:val="none" w:sz="0" w:space="0" w:color="auto"/>
                        <w:bottom w:val="none" w:sz="0" w:space="0" w:color="auto"/>
                        <w:right w:val="none" w:sz="0" w:space="0" w:color="auto"/>
                      </w:divBdr>
                    </w:div>
                    <w:div w:id="165671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3</Pages>
  <Words>178</Words>
  <Characters>1016</Characters>
  <Application>Microsoft Office Word</Application>
  <DocSecurity>0</DocSecurity>
  <Lines>8</Lines>
  <Paragraphs>2</Paragraphs>
  <ScaleCrop>false</ScaleCrop>
  <Company/>
  <LinksUpToDate>false</LinksUpToDate>
  <CharactersWithSpaces>1192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hongyi zhang</dc:creator>
  <cp:lastModifiedBy>ZL</cp:lastModifiedBy>
  <cp:revision>111</cp:revision>
  <cp:lastPrinted>2019-03-15T05:55:00Z</cp:lastPrinted>
  <dcterms:created xsi:type="dcterms:W3CDTF">2017-12-05T02:01:00Z</dcterms:created>
  <dcterms:modified xsi:type="dcterms:W3CDTF">2019-05-21T03:10:00Z</dcterms:modified>
</cp:coreProperties>
</file>