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" w:hAnsi="仿宋" w:eastAsia="仿宋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985"/>
        <w:gridCol w:w="49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领盛亚洲五号机会基金收购南京宇培仓储有限公司股权案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领盛亚洲五号机会基金（“五号基金”）拟收购南京宇培仓储有限公司（“南京宇培”）70%股权，五号基金由领盛投资管理公司（“领盛投资”）管理。本次交易后，中国物流资产控股有限公司（“中国物流”）继续间接持有南京宇培30%股权，中国物流与领盛投资共同控制南京宇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参与集中的经营者简介</w:t>
            </w:r>
          </w:p>
        </w:tc>
        <w:tc>
          <w:tcPr>
            <w:tcW w:w="1985" w:type="dxa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1、领盛投资</w:t>
            </w:r>
          </w:p>
        </w:tc>
        <w:tc>
          <w:tcPr>
            <w:tcW w:w="4964" w:type="dxa"/>
            <w:vAlign w:val="top"/>
          </w:tcPr>
          <w:p>
            <w:pPr>
              <w:spacing w:line="500" w:lineRule="exac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领盛投资是一家多元化投资管理公司，在资本市场为客户提供多种产品和服务。领盛投资在全球管理资产规模约6</w:t>
            </w:r>
            <w:r>
              <w:rPr>
                <w:rFonts w:ascii="仿宋" w:hAnsi="仿宋" w:eastAsia="仿宋"/>
                <w:sz w:val="28"/>
                <w:szCs w:val="28"/>
              </w:rPr>
              <w:t>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亿美元，客户涵盖各国养老基金、保险公司、政府机构、企业和个人投资者。领盛投资于2005年开始在中国开展投资业务，并于2006年在上海正式成立了上海办公室，关注中国投资市场。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985" w:type="dxa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2、中国物流</w:t>
            </w:r>
          </w:p>
        </w:tc>
        <w:tc>
          <w:tcPr>
            <w:tcW w:w="4964" w:type="dxa"/>
            <w:vAlign w:val="top"/>
          </w:tcPr>
          <w:p>
            <w:pPr>
              <w:spacing w:line="500" w:lineRule="exac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中国物流在中国境内的业务涵盖物流基础设施设计、开发、租赁、经营和管理等领域，主要服务于生产、零售、电子商务及物流服务等领域的客户。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Segoe UI Symbol" w:hAnsi="Segoe UI Symbol" w:eastAsia="仿宋" w:cs="Segoe UI Symbol"/>
                <w:sz w:val="28"/>
                <w:szCs w:val="28"/>
              </w:rPr>
              <w:t>☑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申报人认为，本次交易的相关市场为南京市通用仓库开发和租赁市场。2018年交易双方在相关市场的市场份额如下：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456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南京市通用仓库开发和租赁市场：</w:t>
            </w:r>
          </w:p>
          <w:p>
            <w:pPr>
              <w:numPr>
                <w:ilvl w:val="0"/>
                <w:numId w:val="2"/>
              </w:numPr>
              <w:spacing w:line="500" w:lineRule="exac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南京宇培（预估）：[5</w:t>
            </w:r>
            <w:r>
              <w:rPr>
                <w:rFonts w:ascii="仿宋" w:hAnsi="仿宋" w:eastAsia="仿宋"/>
                <w:sz w:val="28"/>
                <w:szCs w:val="28"/>
              </w:rPr>
              <w:t>-1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0]% </w:t>
            </w:r>
          </w:p>
        </w:tc>
      </w:tr>
    </w:tbl>
    <w:p>
      <w:pPr>
        <w:snapToGrid w:val="0"/>
        <w:spacing w:line="240" w:lineRule="exact"/>
        <w:jc w:val="left"/>
        <w:rPr>
          <w:rFonts w:hint="eastAsia" w:ascii="仿宋" w:hAnsi="仿宋" w:eastAsia="仿宋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仿宋" w:hAnsi="仿宋" w:eastAsia="仿宋"/>
          <w:sz w:val="28"/>
          <w:szCs w:val="24"/>
        </w:rPr>
      </w:pPr>
    </w:p>
    <w:p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注解：</w:t>
      </w:r>
    </w:p>
    <w:p>
      <w:pPr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2、申报方申请简易案件的理由是基于第4项、第5项时，无须在备注中说明相关市场和市场份额。</w:t>
      </w:r>
    </w:p>
    <w:p>
      <w:pPr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仿宋" w:hAnsi="仿宋" w:eastAsia="仿宋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06F" w:usb1="1200FBEF" w:usb2="0064C000" w:usb3="00000002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A9224C"/>
    <w:multiLevelType w:val="multilevel"/>
    <w:tmpl w:val="36A9224C"/>
    <w:lvl w:ilvl="0" w:tentative="0">
      <w:start w:val="1"/>
      <w:numFmt w:val="bullet"/>
      <w:lvlText w:val="-"/>
      <w:lvlJc w:val="left"/>
      <w:pPr>
        <w:ind w:left="84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3727DF5"/>
    <w:multiLevelType w:val="multilevel"/>
    <w:tmpl w:val="53727DF5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1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2019-06-05T01:29:34Z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