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00DF" w:rsidRDefault="00CB00DF" w:rsidP="00EF5714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EF5714" w:rsidRPr="00EF5714" w:rsidRDefault="00EF5714" w:rsidP="00EF5714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3"/>
        <w:gridCol w:w="1131"/>
        <w:gridCol w:w="5792"/>
      </w:tblGrid>
      <w:tr w:rsidR="00E676B6" w:rsidRPr="00EF5714" w:rsidTr="00EF5714">
        <w:tc>
          <w:tcPr>
            <w:tcW w:w="0" w:type="auto"/>
            <w:shd w:val="clear" w:color="auto" w:fill="D9D9D9"/>
            <w:vAlign w:val="center"/>
          </w:tcPr>
          <w:p w:rsidR="00CB00DF" w:rsidRPr="00EF5714" w:rsidRDefault="00CB00DF" w:rsidP="00CB00DF">
            <w:pPr>
              <w:spacing w:line="500" w:lineRule="exact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0" w:type="auto"/>
            <w:gridSpan w:val="2"/>
          </w:tcPr>
          <w:p w:rsidR="00CB00DF" w:rsidRPr="00EF5714" w:rsidRDefault="003876E6" w:rsidP="006908A4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876E6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布鲁克菲尔德资产管理公司收购橡树资本集团有限责任公司等7家公司股权案</w:t>
            </w:r>
          </w:p>
        </w:tc>
      </w:tr>
      <w:tr w:rsidR="00E676B6" w:rsidRPr="00EF5714" w:rsidTr="00EF5714">
        <w:trPr>
          <w:trHeight w:val="993"/>
        </w:trPr>
        <w:tc>
          <w:tcPr>
            <w:tcW w:w="0" w:type="auto"/>
            <w:shd w:val="clear" w:color="auto" w:fill="D9D9D9"/>
            <w:vAlign w:val="center"/>
          </w:tcPr>
          <w:p w:rsidR="00F1624E" w:rsidRPr="00EF5714" w:rsidRDefault="00CB00DF" w:rsidP="00CB00DF">
            <w:pPr>
              <w:spacing w:line="500" w:lineRule="exact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EF5714" w:rsidRDefault="00CB00DF" w:rsidP="00CB00DF">
            <w:pPr>
              <w:spacing w:line="500" w:lineRule="exact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0" w:type="auto"/>
            <w:gridSpan w:val="2"/>
          </w:tcPr>
          <w:p w:rsidR="00CB00DF" w:rsidRDefault="003876E6" w:rsidP="003876E6">
            <w:pPr>
              <w:widowControl/>
              <w:snapToGrid w:val="0"/>
              <w:spacing w:afterLines="50" w:after="156"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876E6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2019年3月13日，布鲁克菲尔德资产管理公司（“</w:t>
            </w:r>
            <w:r w:rsidRPr="003876E6">
              <w:rPr>
                <w:rFonts w:ascii="仿宋" w:eastAsia="仿宋" w:hAnsi="仿宋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布鲁克菲尔德</w:t>
            </w:r>
            <w:r w:rsidRPr="003876E6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”）与橡树资本集团有限责任公司（“</w:t>
            </w:r>
            <w:r w:rsidRPr="003876E6">
              <w:rPr>
                <w:rFonts w:ascii="仿宋" w:eastAsia="仿宋" w:hAnsi="仿宋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橡树</w:t>
            </w:r>
            <w:r w:rsidRPr="003876E6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”）签署了一项合并计划和协议（“</w:t>
            </w:r>
            <w:r w:rsidR="00F83E8C">
              <w:rPr>
                <w:rFonts w:ascii="仿宋" w:eastAsia="仿宋" w:hAnsi="仿宋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</w:t>
            </w:r>
            <w:r w:rsidRPr="003876E6">
              <w:rPr>
                <w:rFonts w:ascii="仿宋" w:eastAsia="仿宋" w:hAnsi="仿宋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协议</w:t>
            </w:r>
            <w:r w:rsidRPr="003876E6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”）。根据该交易协议，布鲁克菲尔德将直接或通过全资子公司收购橡树100%的A类股，并将获得橡树运营集团62%的经济权益（“</w:t>
            </w:r>
            <w:r w:rsidRPr="003876E6">
              <w:rPr>
                <w:rFonts w:ascii="仿宋" w:eastAsia="仿宋" w:hAnsi="仿宋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拟议交易</w:t>
            </w:r>
            <w:r w:rsidRPr="003876E6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”）。</w:t>
            </w:r>
          </w:p>
          <w:p w:rsidR="003876E6" w:rsidRPr="00E35012" w:rsidRDefault="003876E6" w:rsidP="003876E6">
            <w:pPr>
              <w:widowControl/>
              <w:snapToGrid w:val="0"/>
              <w:spacing w:afterLines="50" w:after="156"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拟议交易完成</w:t>
            </w:r>
            <w:r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后，</w:t>
            </w: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布鲁克菲尔德</w:t>
            </w:r>
            <w:r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与</w:t>
            </w:r>
            <w:r w:rsidRPr="003876E6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橡树资本集团控股有限合伙</w:t>
            </w: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将</w:t>
            </w:r>
            <w:r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共同控制</w:t>
            </w: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橡树与橡树</w:t>
            </w:r>
            <w:r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运营集团</w:t>
            </w:r>
            <w:r w:rsidR="00F83E8C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E676B6" w:rsidRPr="00EF5714" w:rsidTr="00EF5714">
        <w:trPr>
          <w:trHeight w:val="468"/>
        </w:trPr>
        <w:tc>
          <w:tcPr>
            <w:tcW w:w="0" w:type="auto"/>
            <w:vMerge w:val="restart"/>
            <w:shd w:val="clear" w:color="auto" w:fill="D9D9D9"/>
            <w:vAlign w:val="center"/>
          </w:tcPr>
          <w:p w:rsidR="00F1624E" w:rsidRPr="00EF5714" w:rsidRDefault="00CB00DF" w:rsidP="00CB00DF">
            <w:pPr>
              <w:spacing w:line="500" w:lineRule="exact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CB00DF" w:rsidRPr="00EF5714" w:rsidRDefault="00CB00DF" w:rsidP="00CB00DF">
            <w:pPr>
              <w:spacing w:line="500" w:lineRule="exact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0" w:type="auto"/>
          </w:tcPr>
          <w:p w:rsidR="00CB00DF" w:rsidRPr="00EF5714" w:rsidRDefault="00CB00DF" w:rsidP="003876E6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="003876E6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布鲁克菲尔德</w:t>
            </w:r>
          </w:p>
        </w:tc>
        <w:tc>
          <w:tcPr>
            <w:tcW w:w="0" w:type="auto"/>
          </w:tcPr>
          <w:p w:rsidR="00CB00DF" w:rsidRPr="00E35012" w:rsidRDefault="003876E6" w:rsidP="003876E6">
            <w:pPr>
              <w:widowControl/>
              <w:snapToGrid w:val="0"/>
              <w:spacing w:afterLines="50" w:after="156" w:line="500" w:lineRule="exact"/>
              <w:jc w:val="left"/>
              <w:rPr>
                <w:rFonts w:ascii="Times New Roman" w:hAnsi="Times New Roman"/>
              </w:rPr>
            </w:pPr>
            <w:r w:rsidRPr="003876E6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布鲁克菲尔德是一家全球资产管理公司，其管理的全球资产主要集中在房地产、基础设施建设、可再生能源和私募股权。布鲁克菲尔德在纽约证券交易所、多伦多证券交易所、阿姆斯特丹泛欧交易所上市，股票代码分别为：BAM、BAM.A、BAMA。</w:t>
            </w:r>
          </w:p>
        </w:tc>
      </w:tr>
      <w:tr w:rsidR="00E676B6" w:rsidRPr="00EF5714" w:rsidTr="00EF5714">
        <w:trPr>
          <w:trHeight w:val="404"/>
        </w:trPr>
        <w:tc>
          <w:tcPr>
            <w:tcW w:w="0" w:type="auto"/>
            <w:vMerge/>
            <w:shd w:val="clear" w:color="auto" w:fill="D9D9D9"/>
            <w:vAlign w:val="center"/>
          </w:tcPr>
          <w:p w:rsidR="00CB00DF" w:rsidRPr="00EF5714" w:rsidRDefault="00CB00DF" w:rsidP="00CB00DF">
            <w:pPr>
              <w:spacing w:line="500" w:lineRule="exact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0" w:type="auto"/>
          </w:tcPr>
          <w:p w:rsidR="00CB00DF" w:rsidRPr="00EF5714" w:rsidRDefault="00EF5714" w:rsidP="00EF5714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="003876E6" w:rsidRPr="003876E6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橡树资本集团控股有限合伙</w:t>
            </w:r>
          </w:p>
        </w:tc>
        <w:tc>
          <w:tcPr>
            <w:tcW w:w="0" w:type="auto"/>
          </w:tcPr>
          <w:p w:rsidR="00CB00DF" w:rsidRPr="00E676B6" w:rsidRDefault="00250D6F" w:rsidP="00250D6F">
            <w:pPr>
              <w:widowControl/>
              <w:snapToGrid w:val="0"/>
              <w:spacing w:afterLines="50" w:after="156" w:line="500" w:lineRule="exact"/>
              <w:jc w:val="lef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</w:pPr>
            <w:r w:rsidRPr="00250D6F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橡树，作为一家有限责任控股公司，是一家全球性投资管理公司。橡树的投资专注于不良债权、高回报债券、企业债券、可转换证券、不动产和上市公司。橡树管理的基金和账户在生产、医疗、纺织、旅游、矿业和媒体等多个领域进行投资。</w:t>
            </w:r>
          </w:p>
        </w:tc>
      </w:tr>
      <w:tr w:rsidR="00E676B6" w:rsidRPr="00EF5714" w:rsidTr="00EF5714">
        <w:trPr>
          <w:trHeight w:val="279"/>
        </w:trPr>
        <w:tc>
          <w:tcPr>
            <w:tcW w:w="0" w:type="auto"/>
            <w:vMerge w:val="restart"/>
            <w:shd w:val="clear" w:color="auto" w:fill="D9D9D9"/>
            <w:vAlign w:val="center"/>
          </w:tcPr>
          <w:p w:rsidR="00CB00DF" w:rsidRPr="00EF5714" w:rsidRDefault="00CB00DF" w:rsidP="00CB00DF">
            <w:pPr>
              <w:spacing w:line="500" w:lineRule="exact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0" w:type="auto"/>
            <w:gridSpan w:val="2"/>
          </w:tcPr>
          <w:p w:rsidR="00CB00DF" w:rsidRPr="00EF5714" w:rsidRDefault="00E84485" w:rsidP="006908A4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84485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CB00DF"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1.在同一相关市场，所有参与集中的经营者所占市场份额之和小于15%。</w:t>
            </w:r>
          </w:p>
        </w:tc>
      </w:tr>
      <w:tr w:rsidR="00E676B6" w:rsidRPr="00EF5714" w:rsidTr="00EF5714">
        <w:trPr>
          <w:trHeight w:val="330"/>
        </w:trPr>
        <w:tc>
          <w:tcPr>
            <w:tcW w:w="0" w:type="auto"/>
            <w:vMerge/>
            <w:shd w:val="clear" w:color="auto" w:fill="D9D9D9"/>
            <w:vAlign w:val="center"/>
          </w:tcPr>
          <w:p w:rsidR="00CB00DF" w:rsidRPr="00EF5714" w:rsidRDefault="00CB00DF" w:rsidP="00CB00DF">
            <w:pPr>
              <w:spacing w:line="500" w:lineRule="exact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0" w:type="auto"/>
            <w:gridSpan w:val="2"/>
          </w:tcPr>
          <w:p w:rsidR="00CB00DF" w:rsidRPr="00EF5714" w:rsidRDefault="003876E6" w:rsidP="006908A4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2.存在上下游关系的参与集中的经营者，在上下游市场所占的市场份额均小于25%。</w:t>
            </w:r>
          </w:p>
        </w:tc>
      </w:tr>
      <w:tr w:rsidR="00E676B6" w:rsidRPr="00EF5714" w:rsidTr="00EF5714">
        <w:trPr>
          <w:trHeight w:val="285"/>
        </w:trPr>
        <w:tc>
          <w:tcPr>
            <w:tcW w:w="0" w:type="auto"/>
            <w:vMerge/>
            <w:shd w:val="clear" w:color="auto" w:fill="D9D9D9"/>
            <w:vAlign w:val="center"/>
          </w:tcPr>
          <w:p w:rsidR="00CB00DF" w:rsidRPr="00EF5714" w:rsidRDefault="00CB00DF" w:rsidP="00CB00DF">
            <w:pPr>
              <w:spacing w:line="500" w:lineRule="exact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0" w:type="auto"/>
            <w:gridSpan w:val="2"/>
          </w:tcPr>
          <w:p w:rsidR="00CB00DF" w:rsidRPr="00EF5714" w:rsidRDefault="00CB00DF" w:rsidP="006908A4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□3.不在同一相关市场、也不存在上下游关系的参与集中的经营</w:t>
            </w:r>
            <w:r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者，在与交易有关的每个市场所占的份额均小于25%。</w:t>
            </w:r>
          </w:p>
        </w:tc>
      </w:tr>
      <w:tr w:rsidR="00E676B6" w:rsidRPr="00EF5714" w:rsidTr="00EF5714">
        <w:trPr>
          <w:trHeight w:val="870"/>
        </w:trPr>
        <w:tc>
          <w:tcPr>
            <w:tcW w:w="0" w:type="auto"/>
            <w:vMerge/>
            <w:shd w:val="clear" w:color="auto" w:fill="D9D9D9"/>
            <w:vAlign w:val="center"/>
          </w:tcPr>
          <w:p w:rsidR="00CB00DF" w:rsidRPr="00EF5714" w:rsidRDefault="00CB00DF" w:rsidP="00CB00DF">
            <w:pPr>
              <w:spacing w:line="500" w:lineRule="exact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0" w:type="auto"/>
            <w:gridSpan w:val="2"/>
          </w:tcPr>
          <w:p w:rsidR="00CB00DF" w:rsidRPr="00EF5714" w:rsidRDefault="00CB00DF" w:rsidP="006908A4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□4.参与集中的经营者在中国境外设立合营企业，合营企业不在中国境内从事经济活动。</w:t>
            </w:r>
          </w:p>
        </w:tc>
      </w:tr>
      <w:tr w:rsidR="00E676B6" w:rsidRPr="00EF5714" w:rsidTr="00EF5714">
        <w:trPr>
          <w:trHeight w:val="264"/>
        </w:trPr>
        <w:tc>
          <w:tcPr>
            <w:tcW w:w="0" w:type="auto"/>
            <w:vMerge/>
            <w:shd w:val="clear" w:color="auto" w:fill="D9D9D9"/>
            <w:vAlign w:val="center"/>
          </w:tcPr>
          <w:p w:rsidR="00CB00DF" w:rsidRPr="00EF5714" w:rsidRDefault="00CB00DF" w:rsidP="00CB00DF">
            <w:pPr>
              <w:spacing w:line="500" w:lineRule="exact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0" w:type="auto"/>
            <w:gridSpan w:val="2"/>
          </w:tcPr>
          <w:p w:rsidR="00CB00DF" w:rsidRPr="00EF5714" w:rsidRDefault="00CB00DF" w:rsidP="006908A4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□5.参与集中的经营者收购境外企业股权或资产的，该境外企业不在中国境内从事经济活动。</w:t>
            </w:r>
          </w:p>
        </w:tc>
      </w:tr>
      <w:tr w:rsidR="00E676B6" w:rsidRPr="00EF5714" w:rsidTr="00EF5714">
        <w:trPr>
          <w:trHeight w:val="345"/>
        </w:trPr>
        <w:tc>
          <w:tcPr>
            <w:tcW w:w="0" w:type="auto"/>
            <w:vMerge/>
            <w:shd w:val="clear" w:color="auto" w:fill="D9D9D9"/>
            <w:vAlign w:val="center"/>
          </w:tcPr>
          <w:p w:rsidR="00CB00DF" w:rsidRPr="00EF5714" w:rsidRDefault="00CB00DF" w:rsidP="00CB00DF">
            <w:pPr>
              <w:spacing w:line="500" w:lineRule="exact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0" w:type="auto"/>
            <w:gridSpan w:val="2"/>
          </w:tcPr>
          <w:p w:rsidR="00CB00DF" w:rsidRPr="00EF5714" w:rsidRDefault="00E35012" w:rsidP="006908A4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6.由两个以上的经营者共同控制的合营企业，通过集中被其中一个或一个以上经营者控制。</w:t>
            </w:r>
          </w:p>
        </w:tc>
      </w:tr>
      <w:tr w:rsidR="00E676B6" w:rsidRPr="00EF5714" w:rsidTr="00EF5714">
        <w:tc>
          <w:tcPr>
            <w:tcW w:w="0" w:type="auto"/>
            <w:shd w:val="clear" w:color="auto" w:fill="D9D9D9"/>
            <w:vAlign w:val="center"/>
          </w:tcPr>
          <w:p w:rsidR="00CB00DF" w:rsidRPr="00EF5714" w:rsidRDefault="00CB00DF" w:rsidP="00CB00DF">
            <w:pPr>
              <w:spacing w:line="500" w:lineRule="exact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0" w:type="auto"/>
            <w:gridSpan w:val="2"/>
          </w:tcPr>
          <w:p w:rsidR="00CB00DF" w:rsidRDefault="00E84485" w:rsidP="006908A4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相关市场</w:t>
            </w:r>
            <w:r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界定及</w:t>
            </w: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集中</w:t>
            </w:r>
            <w:r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各方的</w:t>
            </w: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</w:t>
            </w:r>
            <w:r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份额</w:t>
            </w: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</w:p>
          <w:p w:rsidR="003876E6" w:rsidRDefault="003876E6" w:rsidP="003876E6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</w:t>
            </w:r>
            <w:r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产品市场</w:t>
            </w:r>
            <w:r w:rsidR="00B07336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：私募</w:t>
            </w:r>
            <w:bookmarkStart w:id="0" w:name="_GoBack"/>
            <w:bookmarkEnd w:id="0"/>
            <w:r w:rsidR="002B606B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基金</w:t>
            </w:r>
            <w:r w:rsidR="00224E5F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管理</w:t>
            </w:r>
          </w:p>
          <w:p w:rsidR="003876E6" w:rsidRDefault="003876E6" w:rsidP="003876E6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</w:t>
            </w:r>
            <w:r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地域市场</w:t>
            </w:r>
            <w:r w:rsidR="00B07336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：中国</w:t>
            </w:r>
          </w:p>
          <w:p w:rsidR="003876E6" w:rsidRDefault="003876E6" w:rsidP="003876E6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</w:t>
            </w:r>
            <w:r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份额</w:t>
            </w: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</w:p>
          <w:p w:rsidR="003876E6" w:rsidRPr="00B07336" w:rsidRDefault="003876E6" w:rsidP="003876E6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布鲁克</w:t>
            </w:r>
            <w:r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菲尔德</w:t>
            </w:r>
            <w:r w:rsidRPr="00B07336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 w:rsidRPr="00B07336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[0%—5</w:t>
            </w:r>
            <w:r w:rsidRPr="00B07336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%]</w:t>
            </w:r>
          </w:p>
          <w:p w:rsidR="003876E6" w:rsidRPr="00B07336" w:rsidRDefault="003876E6" w:rsidP="003876E6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07336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橡树</w:t>
            </w:r>
            <w:r w:rsidRPr="00B07336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 w:rsidRPr="00B07336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[0%—5</w:t>
            </w:r>
            <w:r w:rsidRPr="00B07336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%]</w:t>
            </w:r>
          </w:p>
          <w:p w:rsidR="003876E6" w:rsidRPr="003876E6" w:rsidRDefault="003876E6" w:rsidP="00B07336">
            <w:pPr>
              <w:spacing w:line="500" w:lineRule="exact"/>
              <w:jc w:val="lef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07336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</w:t>
            </w:r>
            <w:r w:rsidRPr="00B07336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双方</w:t>
            </w:r>
            <w:r w:rsidRPr="00B07336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合计</w:t>
            </w:r>
            <w:r w:rsidRPr="00B07336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 w:rsidRPr="00B07336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[0%—5</w:t>
            </w:r>
            <w:r w:rsidRPr="00B07336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%]</w:t>
            </w:r>
          </w:p>
          <w:p w:rsidR="00E84485" w:rsidRPr="00786C7E" w:rsidRDefault="00E84485" w:rsidP="00786C7E">
            <w:pPr>
              <w:pStyle w:val="a5"/>
              <w:spacing w:line="500" w:lineRule="exact"/>
              <w:ind w:left="360" w:firstLineChars="0" w:firstLine="0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</w:tbl>
    <w:p w:rsidR="000F5E24" w:rsidRPr="00CB00DF" w:rsidRDefault="0055687F"/>
    <w:sectPr w:rsidR="000F5E24" w:rsidRPr="00CB00D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6F22" w:rsidRDefault="00EF6F22" w:rsidP="00EF5714">
      <w:r>
        <w:separator/>
      </w:r>
    </w:p>
  </w:endnote>
  <w:endnote w:type="continuationSeparator" w:id="0">
    <w:p w:rsidR="00EF6F22" w:rsidRDefault="00EF6F22" w:rsidP="00EF57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6F22" w:rsidRDefault="00EF6F22" w:rsidP="00EF5714">
      <w:r>
        <w:separator/>
      </w:r>
    </w:p>
  </w:footnote>
  <w:footnote w:type="continuationSeparator" w:id="0">
    <w:p w:rsidR="00EF6F22" w:rsidRDefault="00EF6F22" w:rsidP="00EF57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E74166"/>
    <w:multiLevelType w:val="hybridMultilevel"/>
    <w:tmpl w:val="3A145DAA"/>
    <w:lvl w:ilvl="0" w:tplc="31B08B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37065"/>
    <w:rsid w:val="00071AFB"/>
    <w:rsid w:val="000D7EBA"/>
    <w:rsid w:val="001164CD"/>
    <w:rsid w:val="00155717"/>
    <w:rsid w:val="001837A3"/>
    <w:rsid w:val="00224E5F"/>
    <w:rsid w:val="00250D6F"/>
    <w:rsid w:val="002B606B"/>
    <w:rsid w:val="003876E6"/>
    <w:rsid w:val="003C0AEB"/>
    <w:rsid w:val="003D5370"/>
    <w:rsid w:val="00427E53"/>
    <w:rsid w:val="004F7688"/>
    <w:rsid w:val="005209ED"/>
    <w:rsid w:val="00532A6A"/>
    <w:rsid w:val="0055687F"/>
    <w:rsid w:val="005828AF"/>
    <w:rsid w:val="005C013E"/>
    <w:rsid w:val="006467D8"/>
    <w:rsid w:val="006A531B"/>
    <w:rsid w:val="006E37EE"/>
    <w:rsid w:val="006F7693"/>
    <w:rsid w:val="00710140"/>
    <w:rsid w:val="00786C7E"/>
    <w:rsid w:val="007F2275"/>
    <w:rsid w:val="00915F0F"/>
    <w:rsid w:val="009532DF"/>
    <w:rsid w:val="00997019"/>
    <w:rsid w:val="009A5029"/>
    <w:rsid w:val="009D38D5"/>
    <w:rsid w:val="00A41A5C"/>
    <w:rsid w:val="00A53F26"/>
    <w:rsid w:val="00AA0CC5"/>
    <w:rsid w:val="00B07336"/>
    <w:rsid w:val="00B16AFE"/>
    <w:rsid w:val="00B65DD5"/>
    <w:rsid w:val="00BD10B6"/>
    <w:rsid w:val="00C07076"/>
    <w:rsid w:val="00CB00DF"/>
    <w:rsid w:val="00D04959"/>
    <w:rsid w:val="00D73C72"/>
    <w:rsid w:val="00DB6A76"/>
    <w:rsid w:val="00E0592B"/>
    <w:rsid w:val="00E31738"/>
    <w:rsid w:val="00E35012"/>
    <w:rsid w:val="00E50CF6"/>
    <w:rsid w:val="00E676B6"/>
    <w:rsid w:val="00E84485"/>
    <w:rsid w:val="00E86786"/>
    <w:rsid w:val="00ED2F80"/>
    <w:rsid w:val="00EF5714"/>
    <w:rsid w:val="00EF6F22"/>
    <w:rsid w:val="00F1624E"/>
    <w:rsid w:val="00F32F8A"/>
    <w:rsid w:val="00F810AA"/>
    <w:rsid w:val="00F83E8C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5:docId w15:val="{F4E0A73E-6DA4-46D8-BD5A-EA1F12C24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F571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F5714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F571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F5714"/>
    <w:rPr>
      <w:rFonts w:ascii="Calibri" w:eastAsia="宋体" w:hAnsi="Calibri" w:cs="Times New Roman"/>
      <w:sz w:val="18"/>
      <w:szCs w:val="18"/>
    </w:rPr>
  </w:style>
  <w:style w:type="paragraph" w:styleId="a5">
    <w:name w:val="List Paragraph"/>
    <w:basedOn w:val="a"/>
    <w:uiPriority w:val="34"/>
    <w:qFormat/>
    <w:rsid w:val="00E8448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JunHe LLP</dc:creator>
  <cp:lastModifiedBy>Jun He</cp:lastModifiedBy>
  <cp:revision>20</cp:revision>
  <dcterms:created xsi:type="dcterms:W3CDTF">2019-06-27T06:33:00Z</dcterms:created>
  <dcterms:modified xsi:type="dcterms:W3CDTF">2019-07-29T01:08:00Z</dcterms:modified>
</cp:coreProperties>
</file>