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2F3D52" w:rsidRDefault="00CB00DF" w:rsidP="00CB00DF">
      <w:pPr>
        <w:spacing w:line="440" w:lineRule="exact"/>
        <w:jc w:val="center"/>
        <w:rPr>
          <w:rFonts w:ascii="Times New Roman" w:eastAsia="楷体_GB2312" w:hAnsi="Times New Roman"/>
          <w:sz w:val="24"/>
          <w:szCs w:val="24"/>
        </w:rPr>
      </w:pPr>
      <w:r w:rsidRPr="002F3D52">
        <w:rPr>
          <w:rFonts w:ascii="Times New Roman" w:eastAsia="楷体_GB2312" w:hAnsi="Times New Roman"/>
          <w:sz w:val="24"/>
          <w:szCs w:val="24"/>
        </w:rPr>
        <w:t>经营者集中简易案件公示表</w:t>
      </w:r>
    </w:p>
    <w:p w:rsidR="00CB00DF" w:rsidRPr="002F3D52" w:rsidRDefault="00CB00DF" w:rsidP="00CB00DF">
      <w:pPr>
        <w:spacing w:line="440" w:lineRule="exact"/>
        <w:rPr>
          <w:rFonts w:ascii="Times New Roman" w:eastAsia="楷体_GB2312"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2F3D52" w:rsidRPr="002F3D52" w:rsidTr="00540581">
        <w:tc>
          <w:tcPr>
            <w:tcW w:w="1809" w:type="dxa"/>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案件名称</w:t>
            </w:r>
          </w:p>
        </w:tc>
        <w:tc>
          <w:tcPr>
            <w:tcW w:w="6949" w:type="dxa"/>
            <w:gridSpan w:val="2"/>
            <w:vAlign w:val="center"/>
          </w:tcPr>
          <w:p w:rsidR="00CB00DF" w:rsidRPr="002F3D52" w:rsidRDefault="00CA2C00" w:rsidP="00EC1743">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rPr>
              <w:t>多喜爱集团股份有限公司与浙江省建设投资集团股份有限公司合并案</w:t>
            </w:r>
          </w:p>
        </w:tc>
      </w:tr>
      <w:tr w:rsidR="002F3D52" w:rsidRPr="002F3D52" w:rsidTr="00CB00DF">
        <w:trPr>
          <w:trHeight w:val="993"/>
        </w:trPr>
        <w:tc>
          <w:tcPr>
            <w:tcW w:w="1809" w:type="dxa"/>
            <w:shd w:val="clear" w:color="auto" w:fill="D9D9D9"/>
            <w:vAlign w:val="center"/>
          </w:tcPr>
          <w:p w:rsidR="00F1624E"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交易概况</w:t>
            </w:r>
          </w:p>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（限</w:t>
            </w:r>
            <w:r w:rsidRPr="002F3D52">
              <w:rPr>
                <w:rFonts w:ascii="Times New Roman" w:eastAsia="楷体_GB2312" w:hAnsi="Times New Roman"/>
                <w:kern w:val="0"/>
                <w:sz w:val="24"/>
                <w:szCs w:val="24"/>
                <w:bdr w:val="none" w:sz="0" w:space="0" w:color="auto" w:frame="1"/>
              </w:rPr>
              <w:t>200</w:t>
            </w:r>
            <w:r w:rsidRPr="002F3D52">
              <w:rPr>
                <w:rFonts w:ascii="Times New Roman" w:eastAsia="楷体_GB2312" w:hAnsi="Times New Roman"/>
                <w:kern w:val="0"/>
                <w:sz w:val="24"/>
                <w:szCs w:val="24"/>
                <w:bdr w:val="none" w:sz="0" w:space="0" w:color="auto" w:frame="1"/>
              </w:rPr>
              <w:t>字内）</w:t>
            </w:r>
          </w:p>
        </w:tc>
        <w:tc>
          <w:tcPr>
            <w:tcW w:w="6949" w:type="dxa"/>
            <w:gridSpan w:val="2"/>
          </w:tcPr>
          <w:p w:rsidR="00CA2C00" w:rsidRPr="002F3D52" w:rsidRDefault="00CA2C00" w:rsidP="00CA2C00">
            <w:pPr>
              <w:spacing w:line="360" w:lineRule="auto"/>
              <w:rPr>
                <w:rFonts w:ascii="Times New Roman" w:eastAsia="楷体_GB2312" w:hAnsi="Times New Roman"/>
                <w:sz w:val="24"/>
                <w:szCs w:val="24"/>
              </w:rPr>
            </w:pPr>
            <w:r w:rsidRPr="002F3D52">
              <w:rPr>
                <w:rFonts w:ascii="Times New Roman" w:eastAsia="楷体_GB2312" w:hAnsi="Times New Roman"/>
                <w:kern w:val="0"/>
                <w:sz w:val="24"/>
                <w:szCs w:val="24"/>
              </w:rPr>
              <w:t>多喜爱集团股份有限公司（</w:t>
            </w:r>
            <w:r w:rsidRPr="002F3D52">
              <w:rPr>
                <w:rFonts w:ascii="Times New Roman" w:eastAsia="楷体_GB2312" w:hAnsi="Times New Roman"/>
                <w:kern w:val="0"/>
                <w:sz w:val="24"/>
                <w:szCs w:val="24"/>
              </w:rPr>
              <w:t xml:space="preserve"> “</w:t>
            </w:r>
            <w:r w:rsidRPr="002F3D52">
              <w:rPr>
                <w:rFonts w:ascii="Times New Roman" w:eastAsia="楷体_GB2312" w:hAnsi="Times New Roman"/>
                <w:b/>
                <w:sz w:val="24"/>
                <w:szCs w:val="24"/>
              </w:rPr>
              <w:t>多喜爱</w:t>
            </w:r>
            <w:r w:rsidRPr="002F3D52">
              <w:rPr>
                <w:rFonts w:ascii="Times New Roman" w:eastAsia="楷体_GB2312" w:hAnsi="Times New Roman"/>
                <w:kern w:val="0"/>
                <w:sz w:val="24"/>
                <w:szCs w:val="24"/>
              </w:rPr>
              <w:t>”</w:t>
            </w:r>
            <w:r w:rsidRPr="002F3D52">
              <w:rPr>
                <w:rFonts w:ascii="Times New Roman" w:eastAsia="楷体_GB2312" w:hAnsi="Times New Roman"/>
                <w:kern w:val="0"/>
                <w:sz w:val="24"/>
                <w:szCs w:val="24"/>
              </w:rPr>
              <w:t>）</w:t>
            </w:r>
            <w:r w:rsidRPr="002F3D52">
              <w:rPr>
                <w:rFonts w:ascii="Times New Roman" w:eastAsia="楷体_GB2312" w:hAnsi="Times New Roman"/>
                <w:sz w:val="24"/>
                <w:szCs w:val="24"/>
              </w:rPr>
              <w:t>以置出资产与以发行股份的方式</w:t>
            </w:r>
            <w:r w:rsidR="002F3D52" w:rsidRPr="002F3D52">
              <w:rPr>
                <w:rFonts w:ascii="Times New Roman" w:eastAsia="楷体_GB2312" w:hAnsi="Times New Roman"/>
                <w:sz w:val="24"/>
                <w:szCs w:val="24"/>
              </w:rPr>
              <w:t>向</w:t>
            </w:r>
            <w:r w:rsidR="002F3D52" w:rsidRPr="002F3D52">
              <w:rPr>
                <w:rFonts w:ascii="Times New Roman" w:eastAsia="楷体_GB2312" w:hAnsi="Times New Roman"/>
                <w:kern w:val="0"/>
                <w:sz w:val="24"/>
                <w:szCs w:val="24"/>
              </w:rPr>
              <w:t>浙江省建设投资集团股份有限公司（</w:t>
            </w:r>
            <w:r w:rsidR="002F3D52" w:rsidRPr="002F3D52">
              <w:rPr>
                <w:rFonts w:ascii="Times New Roman" w:eastAsia="楷体_GB2312" w:hAnsi="Times New Roman"/>
                <w:kern w:val="0"/>
                <w:sz w:val="24"/>
                <w:szCs w:val="24"/>
              </w:rPr>
              <w:t>“</w:t>
            </w:r>
            <w:r w:rsidR="002F3D52" w:rsidRPr="002F3D52">
              <w:rPr>
                <w:rFonts w:ascii="Times New Roman" w:eastAsia="楷体_GB2312" w:hAnsi="Times New Roman"/>
                <w:b/>
                <w:kern w:val="0"/>
                <w:sz w:val="24"/>
                <w:szCs w:val="24"/>
              </w:rPr>
              <w:t>浙建集团</w:t>
            </w:r>
            <w:r w:rsidR="002F3D52" w:rsidRPr="002F3D52">
              <w:rPr>
                <w:rFonts w:ascii="Times New Roman" w:eastAsia="楷体_GB2312" w:hAnsi="Times New Roman"/>
                <w:kern w:val="0"/>
                <w:sz w:val="24"/>
                <w:szCs w:val="24"/>
              </w:rPr>
              <w:t>”</w:t>
            </w:r>
            <w:r w:rsidR="002F3D52" w:rsidRPr="002F3D52">
              <w:rPr>
                <w:rFonts w:ascii="Times New Roman" w:eastAsia="楷体_GB2312" w:hAnsi="Times New Roman"/>
                <w:kern w:val="0"/>
                <w:sz w:val="24"/>
                <w:szCs w:val="24"/>
              </w:rPr>
              <w:t>）的全体股东</w:t>
            </w:r>
            <w:r w:rsidRPr="002F3D52">
              <w:rPr>
                <w:rFonts w:ascii="Times New Roman" w:eastAsia="楷体_GB2312" w:hAnsi="Times New Roman"/>
                <w:sz w:val="24"/>
                <w:szCs w:val="24"/>
              </w:rPr>
              <w:t>购买</w:t>
            </w:r>
            <w:r w:rsidR="002F3D52" w:rsidRPr="002F3D52">
              <w:rPr>
                <w:rFonts w:ascii="Times New Roman" w:eastAsia="楷体_GB2312" w:hAnsi="Times New Roman"/>
                <w:sz w:val="24"/>
                <w:szCs w:val="24"/>
              </w:rPr>
              <w:t>浙建集团的全部股份</w:t>
            </w:r>
            <w:r w:rsidRPr="002F3D52">
              <w:rPr>
                <w:rFonts w:ascii="Times New Roman" w:eastAsia="楷体_GB2312" w:hAnsi="Times New Roman"/>
                <w:sz w:val="24"/>
                <w:szCs w:val="24"/>
              </w:rPr>
              <w:t>并对浙建集团进行吸收合并。</w:t>
            </w:r>
            <w:r w:rsidR="002F3D52" w:rsidRPr="002F3D52">
              <w:rPr>
                <w:rFonts w:ascii="Times New Roman" w:eastAsia="楷体_GB2312" w:hAnsi="Times New Roman"/>
                <w:sz w:val="24"/>
                <w:szCs w:val="24"/>
              </w:rPr>
              <w:t>同时，</w:t>
            </w:r>
            <w:r w:rsidR="00E9290E" w:rsidRPr="00E9290E">
              <w:rPr>
                <w:rFonts w:ascii="Times New Roman" w:eastAsia="楷体_GB2312" w:hAnsi="Times New Roman" w:hint="eastAsia"/>
                <w:sz w:val="24"/>
                <w:szCs w:val="24"/>
              </w:rPr>
              <w:t>浙江省国有资本运营有限公司</w:t>
            </w:r>
            <w:r w:rsidR="00E9290E">
              <w:rPr>
                <w:rFonts w:ascii="Times New Roman" w:eastAsia="楷体_GB2312" w:hAnsi="Times New Roman" w:hint="eastAsia"/>
                <w:sz w:val="24"/>
                <w:szCs w:val="24"/>
              </w:rPr>
              <w:t>（“</w:t>
            </w:r>
            <w:r w:rsidR="00E9290E" w:rsidRPr="00E9290E">
              <w:rPr>
                <w:rFonts w:ascii="Times New Roman" w:eastAsia="楷体_GB2312" w:hAnsi="Times New Roman"/>
                <w:b/>
                <w:sz w:val="24"/>
                <w:szCs w:val="24"/>
              </w:rPr>
              <w:t>国资运营公司</w:t>
            </w:r>
            <w:r w:rsidR="00E9290E">
              <w:rPr>
                <w:rFonts w:ascii="Times New Roman" w:eastAsia="楷体_GB2312" w:hAnsi="Times New Roman" w:hint="eastAsia"/>
                <w:sz w:val="24"/>
                <w:szCs w:val="24"/>
              </w:rPr>
              <w:t>”）</w:t>
            </w:r>
            <w:r w:rsidRPr="002F3D52">
              <w:rPr>
                <w:rFonts w:ascii="Times New Roman" w:eastAsia="楷体_GB2312" w:hAnsi="Times New Roman"/>
                <w:sz w:val="24"/>
                <w:szCs w:val="24"/>
              </w:rPr>
              <w:t>以置出资产为对价受让多喜爱原股东陈军、黄娅妮</w:t>
            </w:r>
            <w:bookmarkStart w:id="0" w:name="_GoBack"/>
            <w:bookmarkEnd w:id="0"/>
            <w:r w:rsidRPr="002F3D52">
              <w:rPr>
                <w:rFonts w:ascii="Times New Roman" w:eastAsia="楷体_GB2312" w:hAnsi="Times New Roman"/>
                <w:sz w:val="24"/>
                <w:szCs w:val="24"/>
              </w:rPr>
              <w:t>持有多喜爱的全部股份。</w:t>
            </w:r>
          </w:p>
          <w:p w:rsidR="00CA2C00" w:rsidRPr="002F3D52" w:rsidRDefault="00CA2C00" w:rsidP="00CA2C00">
            <w:pPr>
              <w:spacing w:line="360" w:lineRule="auto"/>
              <w:rPr>
                <w:rFonts w:ascii="Times New Roman" w:eastAsia="楷体_GB2312" w:hAnsi="Times New Roman"/>
                <w:sz w:val="24"/>
                <w:szCs w:val="24"/>
              </w:rPr>
            </w:pPr>
          </w:p>
          <w:p w:rsidR="00CA2C00" w:rsidRPr="002F3D52" w:rsidRDefault="00CA2C00" w:rsidP="00CA2C00">
            <w:pPr>
              <w:spacing w:line="360" w:lineRule="auto"/>
              <w:rPr>
                <w:rFonts w:ascii="Times New Roman" w:eastAsia="楷体_GB2312" w:hAnsi="Times New Roman"/>
                <w:sz w:val="24"/>
                <w:szCs w:val="24"/>
              </w:rPr>
            </w:pPr>
            <w:r w:rsidRPr="002F3D52">
              <w:rPr>
                <w:rFonts w:ascii="Times New Roman" w:eastAsia="楷体_GB2312" w:hAnsi="Times New Roman"/>
                <w:sz w:val="24"/>
                <w:szCs w:val="24"/>
              </w:rPr>
              <w:t>本次交易完成后，浙建集团将注销法人资格，多喜爱作为存续主体</w:t>
            </w:r>
            <w:r w:rsidR="002F3D52" w:rsidRPr="002F3D52">
              <w:rPr>
                <w:rFonts w:ascii="Times New Roman" w:eastAsia="楷体_GB2312" w:hAnsi="Times New Roman"/>
                <w:sz w:val="24"/>
                <w:szCs w:val="24"/>
              </w:rPr>
              <w:t>；</w:t>
            </w:r>
            <w:r w:rsidRPr="002F3D52">
              <w:rPr>
                <w:rFonts w:ascii="Times New Roman" w:eastAsia="楷体_GB2312" w:hAnsi="Times New Roman"/>
                <w:sz w:val="24"/>
                <w:szCs w:val="24"/>
              </w:rPr>
              <w:t>浙建集团目前的全体股东将成为多喜爱的股东。</w:t>
            </w:r>
          </w:p>
          <w:p w:rsidR="00CB00DF" w:rsidRPr="002F3D52" w:rsidRDefault="00CB00DF" w:rsidP="00E21D54">
            <w:pPr>
              <w:spacing w:line="500" w:lineRule="exact"/>
              <w:rPr>
                <w:rFonts w:ascii="Times New Roman" w:eastAsia="楷体_GB2312" w:hAnsi="Times New Roman"/>
                <w:kern w:val="0"/>
                <w:sz w:val="24"/>
                <w:szCs w:val="24"/>
                <w:bdr w:val="none" w:sz="0" w:space="0" w:color="auto" w:frame="1"/>
              </w:rPr>
            </w:pPr>
          </w:p>
        </w:tc>
      </w:tr>
      <w:tr w:rsidR="002F3D52" w:rsidRPr="002F3D52" w:rsidTr="00CB00DF">
        <w:trPr>
          <w:trHeight w:val="468"/>
        </w:trPr>
        <w:tc>
          <w:tcPr>
            <w:tcW w:w="1809" w:type="dxa"/>
            <w:vMerge w:val="restart"/>
            <w:shd w:val="clear" w:color="auto" w:fill="D9D9D9"/>
            <w:vAlign w:val="center"/>
          </w:tcPr>
          <w:p w:rsidR="00F1624E"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参与集中的</w:t>
            </w:r>
          </w:p>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经营者简介</w:t>
            </w:r>
          </w:p>
        </w:tc>
        <w:tc>
          <w:tcPr>
            <w:tcW w:w="1796" w:type="dxa"/>
          </w:tcPr>
          <w:p w:rsidR="00CB00DF" w:rsidRPr="002F3D52" w:rsidRDefault="00CB00DF"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1</w:t>
            </w:r>
            <w:r w:rsidRPr="002F3D52">
              <w:rPr>
                <w:rFonts w:ascii="Times New Roman" w:eastAsia="楷体_GB2312" w:hAnsi="Times New Roman"/>
                <w:kern w:val="0"/>
                <w:sz w:val="24"/>
                <w:szCs w:val="24"/>
                <w:bdr w:val="none" w:sz="0" w:space="0" w:color="auto" w:frame="1"/>
              </w:rPr>
              <w:t>、</w:t>
            </w:r>
            <w:r w:rsidR="00CA2C00" w:rsidRPr="002F3D52">
              <w:rPr>
                <w:rFonts w:ascii="Times New Roman" w:eastAsia="楷体_GB2312" w:hAnsi="Times New Roman"/>
                <w:kern w:val="0"/>
                <w:sz w:val="24"/>
                <w:szCs w:val="24"/>
                <w:bdr w:val="none" w:sz="0" w:space="0" w:color="auto" w:frame="1"/>
              </w:rPr>
              <w:t>多喜爱</w:t>
            </w:r>
          </w:p>
        </w:tc>
        <w:tc>
          <w:tcPr>
            <w:tcW w:w="5153" w:type="dxa"/>
          </w:tcPr>
          <w:p w:rsidR="00CA2C00" w:rsidRPr="002F3D52" w:rsidRDefault="00CA2C00" w:rsidP="00CA2C00">
            <w:pPr>
              <w:spacing w:line="360" w:lineRule="auto"/>
              <w:rPr>
                <w:rFonts w:ascii="Times New Roman" w:eastAsia="楷体_GB2312" w:hAnsi="Times New Roman"/>
                <w:sz w:val="24"/>
                <w:szCs w:val="24"/>
              </w:rPr>
            </w:pPr>
            <w:r w:rsidRPr="002F3D52">
              <w:rPr>
                <w:rFonts w:ascii="Times New Roman" w:eastAsia="楷体_GB2312" w:hAnsi="Times New Roman"/>
                <w:sz w:val="24"/>
                <w:szCs w:val="24"/>
              </w:rPr>
              <w:t>多喜爱主要从事以床上用品为主的家纺用品的研发设计生产、委托加工、品牌推广、渠道建设和销售业务，并一直致力于新材料面料的应用研发和生产业务。公司实行多品牌多渠道发展策略，旗下有</w:t>
            </w:r>
            <w:r w:rsidRPr="002F3D52">
              <w:rPr>
                <w:rFonts w:ascii="Times New Roman" w:eastAsia="楷体_GB2312" w:hAnsi="Times New Roman"/>
                <w:sz w:val="24"/>
                <w:szCs w:val="24"/>
              </w:rPr>
              <w:t>“</w:t>
            </w:r>
            <w:r w:rsidRPr="002F3D52">
              <w:rPr>
                <w:rFonts w:ascii="Times New Roman" w:eastAsia="楷体_GB2312" w:hAnsi="Times New Roman"/>
                <w:sz w:val="24"/>
                <w:szCs w:val="24"/>
              </w:rPr>
              <w:t>多喜爱</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美眠康</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喜玫瑰</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乐倍康</w:t>
            </w:r>
            <w:r w:rsidRPr="002F3D52">
              <w:rPr>
                <w:rFonts w:ascii="Times New Roman" w:eastAsia="楷体_GB2312" w:hAnsi="Times New Roman"/>
                <w:sz w:val="24"/>
                <w:szCs w:val="24"/>
              </w:rPr>
              <w:t>”</w:t>
            </w:r>
            <w:r w:rsidRPr="002F3D52">
              <w:rPr>
                <w:rFonts w:ascii="Times New Roman" w:eastAsia="楷体_GB2312" w:hAnsi="Times New Roman"/>
                <w:sz w:val="24"/>
                <w:szCs w:val="24"/>
              </w:rPr>
              <w:t>、</w:t>
            </w:r>
            <w:r w:rsidRPr="002F3D52">
              <w:rPr>
                <w:rFonts w:ascii="Times New Roman" w:eastAsia="楷体_GB2312" w:hAnsi="Times New Roman"/>
                <w:sz w:val="24"/>
                <w:szCs w:val="24"/>
              </w:rPr>
              <w:t>“HB”</w:t>
            </w:r>
            <w:r w:rsidRPr="002F3D52">
              <w:rPr>
                <w:rFonts w:ascii="Times New Roman" w:eastAsia="楷体_GB2312" w:hAnsi="Times New Roman"/>
                <w:sz w:val="24"/>
                <w:szCs w:val="24"/>
              </w:rPr>
              <w:t>等五大主打品牌。</w:t>
            </w:r>
          </w:p>
          <w:p w:rsidR="00CB00DF" w:rsidRPr="002F3D52" w:rsidRDefault="00CB00DF" w:rsidP="00BA4778">
            <w:pPr>
              <w:spacing w:line="500" w:lineRule="exact"/>
              <w:rPr>
                <w:rFonts w:ascii="Times New Roman" w:eastAsia="楷体_GB2312" w:hAnsi="Times New Roman"/>
                <w:kern w:val="0"/>
                <w:sz w:val="24"/>
                <w:szCs w:val="24"/>
                <w:bdr w:val="none" w:sz="0" w:space="0" w:color="auto" w:frame="1"/>
              </w:rPr>
            </w:pPr>
          </w:p>
        </w:tc>
      </w:tr>
      <w:tr w:rsidR="002F3D52" w:rsidRPr="002F3D52" w:rsidTr="00CB00DF">
        <w:trPr>
          <w:trHeight w:val="404"/>
        </w:trPr>
        <w:tc>
          <w:tcPr>
            <w:tcW w:w="1809" w:type="dxa"/>
            <w:vMerge/>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p>
        </w:tc>
        <w:tc>
          <w:tcPr>
            <w:tcW w:w="1796" w:type="dxa"/>
          </w:tcPr>
          <w:p w:rsidR="00CB00DF" w:rsidRPr="002F3D52" w:rsidRDefault="00CB00DF"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2</w:t>
            </w:r>
            <w:r w:rsidRPr="002F3D52">
              <w:rPr>
                <w:rFonts w:ascii="Times New Roman" w:eastAsia="楷体_GB2312" w:hAnsi="Times New Roman"/>
                <w:kern w:val="0"/>
                <w:sz w:val="24"/>
                <w:szCs w:val="24"/>
                <w:bdr w:val="none" w:sz="0" w:space="0" w:color="auto" w:frame="1"/>
              </w:rPr>
              <w:t>、</w:t>
            </w:r>
            <w:r w:rsidR="00CA2C00" w:rsidRPr="002F3D52">
              <w:rPr>
                <w:rFonts w:ascii="Times New Roman" w:eastAsia="楷体_GB2312" w:hAnsi="Times New Roman"/>
                <w:sz w:val="24"/>
                <w:szCs w:val="24"/>
              </w:rPr>
              <w:t>浙建集团</w:t>
            </w:r>
          </w:p>
        </w:tc>
        <w:tc>
          <w:tcPr>
            <w:tcW w:w="5153" w:type="dxa"/>
          </w:tcPr>
          <w:p w:rsidR="00CA2C00" w:rsidRPr="002F3D52" w:rsidRDefault="00CA2C00" w:rsidP="00CA2C00">
            <w:pPr>
              <w:spacing w:line="360" w:lineRule="auto"/>
              <w:rPr>
                <w:rFonts w:ascii="Times New Roman" w:eastAsia="楷体_GB2312" w:hAnsi="Times New Roman"/>
                <w:sz w:val="24"/>
                <w:szCs w:val="24"/>
              </w:rPr>
            </w:pPr>
            <w:r w:rsidRPr="002F3D52">
              <w:rPr>
                <w:rFonts w:ascii="Times New Roman" w:eastAsia="楷体_GB2312" w:hAnsi="Times New Roman"/>
                <w:sz w:val="24"/>
                <w:szCs w:val="24"/>
              </w:rPr>
              <w:t>浙建集团的主要业务为建筑施工以及与建筑主业产业链相配套的工业制造、工程服务、基础设施投资运营等业务。</w:t>
            </w:r>
          </w:p>
          <w:p w:rsidR="00CB00DF" w:rsidRPr="002F3D52" w:rsidRDefault="00CB00DF" w:rsidP="00BA4778">
            <w:pPr>
              <w:spacing w:line="500" w:lineRule="exact"/>
              <w:rPr>
                <w:rFonts w:ascii="Times New Roman" w:eastAsia="楷体_GB2312" w:hAnsi="Times New Roman"/>
                <w:kern w:val="0"/>
                <w:sz w:val="24"/>
                <w:szCs w:val="24"/>
                <w:bdr w:val="none" w:sz="0" w:space="0" w:color="auto" w:frame="1"/>
              </w:rPr>
            </w:pPr>
          </w:p>
        </w:tc>
      </w:tr>
      <w:tr w:rsidR="002F3D52" w:rsidRPr="002F3D52" w:rsidTr="00540581">
        <w:trPr>
          <w:trHeight w:val="279"/>
        </w:trPr>
        <w:tc>
          <w:tcPr>
            <w:tcW w:w="1809" w:type="dxa"/>
            <w:vMerge w:val="restart"/>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简易案件理由（可以单选，也可以多选）</w:t>
            </w:r>
          </w:p>
        </w:tc>
        <w:tc>
          <w:tcPr>
            <w:tcW w:w="6949" w:type="dxa"/>
            <w:gridSpan w:val="2"/>
            <w:vAlign w:val="center"/>
          </w:tcPr>
          <w:p w:rsidR="00CB00DF" w:rsidRPr="002F3D52" w:rsidRDefault="00E21D54"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w:t>
            </w:r>
            <w:r w:rsidR="00CB00DF" w:rsidRPr="002F3D52">
              <w:rPr>
                <w:rFonts w:ascii="Times New Roman" w:eastAsia="楷体_GB2312" w:hAnsi="Times New Roman"/>
                <w:kern w:val="0"/>
                <w:sz w:val="24"/>
                <w:szCs w:val="24"/>
                <w:bdr w:val="none" w:sz="0" w:space="0" w:color="auto" w:frame="1"/>
              </w:rPr>
              <w:t>1.</w:t>
            </w:r>
            <w:r w:rsidR="00CB00DF" w:rsidRPr="002F3D52">
              <w:rPr>
                <w:rFonts w:ascii="Times New Roman" w:eastAsia="楷体_GB2312" w:hAnsi="Times New Roman"/>
                <w:kern w:val="0"/>
                <w:sz w:val="24"/>
                <w:szCs w:val="24"/>
                <w:bdr w:val="none" w:sz="0" w:space="0" w:color="auto" w:frame="1"/>
              </w:rPr>
              <w:t>在同一相关市场，所有参与集中的经营者所占市场份额之和小于</w:t>
            </w:r>
            <w:r w:rsidR="00CB00DF" w:rsidRPr="002F3D52">
              <w:rPr>
                <w:rFonts w:ascii="Times New Roman" w:eastAsia="楷体_GB2312" w:hAnsi="Times New Roman"/>
                <w:kern w:val="0"/>
                <w:sz w:val="24"/>
                <w:szCs w:val="24"/>
                <w:bdr w:val="none" w:sz="0" w:space="0" w:color="auto" w:frame="1"/>
              </w:rPr>
              <w:t>15%</w:t>
            </w:r>
            <w:r w:rsidR="00CB00DF" w:rsidRPr="002F3D52">
              <w:rPr>
                <w:rFonts w:ascii="Times New Roman" w:eastAsia="楷体_GB2312" w:hAnsi="Times New Roman"/>
                <w:kern w:val="0"/>
                <w:sz w:val="24"/>
                <w:szCs w:val="24"/>
                <w:bdr w:val="none" w:sz="0" w:space="0" w:color="auto" w:frame="1"/>
              </w:rPr>
              <w:t>。</w:t>
            </w:r>
          </w:p>
        </w:tc>
      </w:tr>
      <w:tr w:rsidR="002F3D52" w:rsidRPr="002F3D52" w:rsidTr="00540581">
        <w:trPr>
          <w:trHeight w:val="330"/>
        </w:trPr>
        <w:tc>
          <w:tcPr>
            <w:tcW w:w="1809" w:type="dxa"/>
            <w:vMerge/>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p>
        </w:tc>
        <w:tc>
          <w:tcPr>
            <w:tcW w:w="6949" w:type="dxa"/>
            <w:gridSpan w:val="2"/>
            <w:vAlign w:val="center"/>
          </w:tcPr>
          <w:p w:rsidR="00CB00DF" w:rsidRPr="002F3D52" w:rsidRDefault="00CA2C00"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sym w:font="Wingdings" w:char="F0A8"/>
            </w:r>
            <w:r w:rsidR="00CB00DF" w:rsidRPr="002F3D52">
              <w:rPr>
                <w:rFonts w:ascii="Times New Roman" w:eastAsia="楷体_GB2312" w:hAnsi="Times New Roman"/>
                <w:kern w:val="0"/>
                <w:sz w:val="24"/>
                <w:szCs w:val="24"/>
                <w:bdr w:val="none" w:sz="0" w:space="0" w:color="auto" w:frame="1"/>
              </w:rPr>
              <w:t>2.</w:t>
            </w:r>
            <w:r w:rsidR="00CB00DF" w:rsidRPr="002F3D52">
              <w:rPr>
                <w:rFonts w:ascii="Times New Roman" w:eastAsia="楷体_GB2312" w:hAnsi="Times New Roman"/>
                <w:kern w:val="0"/>
                <w:sz w:val="24"/>
                <w:szCs w:val="24"/>
                <w:bdr w:val="none" w:sz="0" w:space="0" w:color="auto" w:frame="1"/>
              </w:rPr>
              <w:t>存在上下游关系的参与集中的经营者，在上下游市场所占的市场份额均小于</w:t>
            </w:r>
            <w:r w:rsidR="00CB00DF" w:rsidRPr="002F3D52">
              <w:rPr>
                <w:rFonts w:ascii="Times New Roman" w:eastAsia="楷体_GB2312" w:hAnsi="Times New Roman"/>
                <w:kern w:val="0"/>
                <w:sz w:val="24"/>
                <w:szCs w:val="24"/>
                <w:bdr w:val="none" w:sz="0" w:space="0" w:color="auto" w:frame="1"/>
              </w:rPr>
              <w:t>25%</w:t>
            </w:r>
            <w:r w:rsidR="00CB00DF" w:rsidRPr="002F3D52">
              <w:rPr>
                <w:rFonts w:ascii="Times New Roman" w:eastAsia="楷体_GB2312" w:hAnsi="Times New Roman"/>
                <w:kern w:val="0"/>
                <w:sz w:val="24"/>
                <w:szCs w:val="24"/>
                <w:bdr w:val="none" w:sz="0" w:space="0" w:color="auto" w:frame="1"/>
              </w:rPr>
              <w:t>。</w:t>
            </w:r>
          </w:p>
        </w:tc>
      </w:tr>
      <w:tr w:rsidR="002F3D52" w:rsidRPr="002F3D52" w:rsidTr="00540581">
        <w:trPr>
          <w:trHeight w:val="285"/>
        </w:trPr>
        <w:tc>
          <w:tcPr>
            <w:tcW w:w="1809" w:type="dxa"/>
            <w:vMerge/>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p>
        </w:tc>
        <w:tc>
          <w:tcPr>
            <w:tcW w:w="6949" w:type="dxa"/>
            <w:gridSpan w:val="2"/>
            <w:vAlign w:val="center"/>
          </w:tcPr>
          <w:p w:rsidR="00CB00DF" w:rsidRPr="002F3D52" w:rsidRDefault="00CA2C00"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sym w:font="Wingdings" w:char="F0FE"/>
            </w:r>
            <w:r w:rsidR="00CB00DF" w:rsidRPr="002F3D52">
              <w:rPr>
                <w:rFonts w:ascii="Times New Roman" w:eastAsia="楷体_GB2312" w:hAnsi="Times New Roman"/>
                <w:kern w:val="0"/>
                <w:sz w:val="24"/>
                <w:szCs w:val="24"/>
                <w:bdr w:val="none" w:sz="0" w:space="0" w:color="auto" w:frame="1"/>
              </w:rPr>
              <w:t>3.</w:t>
            </w:r>
            <w:r w:rsidR="00CB00DF" w:rsidRPr="002F3D52">
              <w:rPr>
                <w:rFonts w:ascii="Times New Roman" w:eastAsia="楷体_GB2312" w:hAnsi="Times New Roman"/>
                <w:kern w:val="0"/>
                <w:sz w:val="24"/>
                <w:szCs w:val="24"/>
                <w:bdr w:val="none" w:sz="0" w:space="0" w:color="auto" w:frame="1"/>
              </w:rPr>
              <w:t>不在同一相关市场、也不存在上下游关系的参与集中的经营</w:t>
            </w:r>
            <w:r w:rsidR="00CB00DF" w:rsidRPr="002F3D52">
              <w:rPr>
                <w:rFonts w:ascii="Times New Roman" w:eastAsia="楷体_GB2312" w:hAnsi="Times New Roman"/>
                <w:kern w:val="0"/>
                <w:sz w:val="24"/>
                <w:szCs w:val="24"/>
                <w:bdr w:val="none" w:sz="0" w:space="0" w:color="auto" w:frame="1"/>
              </w:rPr>
              <w:lastRenderedPageBreak/>
              <w:t>者，在与交易有关的每个市场所占的份额均小于</w:t>
            </w:r>
            <w:r w:rsidR="00CB00DF" w:rsidRPr="002F3D52">
              <w:rPr>
                <w:rFonts w:ascii="Times New Roman" w:eastAsia="楷体_GB2312" w:hAnsi="Times New Roman"/>
                <w:kern w:val="0"/>
                <w:sz w:val="24"/>
                <w:szCs w:val="24"/>
                <w:bdr w:val="none" w:sz="0" w:space="0" w:color="auto" w:frame="1"/>
              </w:rPr>
              <w:t>25%</w:t>
            </w:r>
            <w:r w:rsidR="00CB00DF" w:rsidRPr="002F3D52">
              <w:rPr>
                <w:rFonts w:ascii="Times New Roman" w:eastAsia="楷体_GB2312" w:hAnsi="Times New Roman"/>
                <w:kern w:val="0"/>
                <w:sz w:val="24"/>
                <w:szCs w:val="24"/>
                <w:bdr w:val="none" w:sz="0" w:space="0" w:color="auto" w:frame="1"/>
              </w:rPr>
              <w:t>。</w:t>
            </w:r>
          </w:p>
        </w:tc>
      </w:tr>
      <w:tr w:rsidR="002F3D52" w:rsidRPr="002F3D52" w:rsidTr="00540581">
        <w:trPr>
          <w:trHeight w:val="870"/>
        </w:trPr>
        <w:tc>
          <w:tcPr>
            <w:tcW w:w="1809" w:type="dxa"/>
            <w:vMerge/>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p>
        </w:tc>
        <w:tc>
          <w:tcPr>
            <w:tcW w:w="6949" w:type="dxa"/>
            <w:gridSpan w:val="2"/>
            <w:vAlign w:val="center"/>
          </w:tcPr>
          <w:p w:rsidR="00CB00DF" w:rsidRPr="002F3D52" w:rsidRDefault="00BA4778"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w:t>
            </w:r>
            <w:r w:rsidR="00CB00DF" w:rsidRPr="002F3D52">
              <w:rPr>
                <w:rFonts w:ascii="Times New Roman" w:eastAsia="楷体_GB2312" w:hAnsi="Times New Roman"/>
                <w:kern w:val="0"/>
                <w:sz w:val="24"/>
                <w:szCs w:val="24"/>
                <w:bdr w:val="none" w:sz="0" w:space="0" w:color="auto" w:frame="1"/>
              </w:rPr>
              <w:t>4.</w:t>
            </w:r>
            <w:r w:rsidR="00CB00DF" w:rsidRPr="002F3D52">
              <w:rPr>
                <w:rFonts w:ascii="Times New Roman" w:eastAsia="楷体_GB2312" w:hAnsi="Times New Roman"/>
                <w:kern w:val="0"/>
                <w:sz w:val="24"/>
                <w:szCs w:val="24"/>
                <w:bdr w:val="none" w:sz="0" w:space="0" w:color="auto" w:frame="1"/>
              </w:rPr>
              <w:t>参与集中的经营者在中国境外设立合营企业，合营企业不在中国境内从事经济活动。</w:t>
            </w:r>
          </w:p>
        </w:tc>
      </w:tr>
      <w:tr w:rsidR="002F3D52" w:rsidRPr="002F3D52" w:rsidTr="00540581">
        <w:trPr>
          <w:trHeight w:val="264"/>
        </w:trPr>
        <w:tc>
          <w:tcPr>
            <w:tcW w:w="1809" w:type="dxa"/>
            <w:vMerge/>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p>
        </w:tc>
        <w:tc>
          <w:tcPr>
            <w:tcW w:w="6949" w:type="dxa"/>
            <w:gridSpan w:val="2"/>
            <w:vAlign w:val="center"/>
          </w:tcPr>
          <w:p w:rsidR="00CB00DF" w:rsidRPr="002F3D52" w:rsidRDefault="00CB00DF"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□5.</w:t>
            </w:r>
            <w:r w:rsidRPr="002F3D52">
              <w:rPr>
                <w:rFonts w:ascii="Times New Roman" w:eastAsia="楷体_GB2312" w:hAnsi="Times New Roman"/>
                <w:kern w:val="0"/>
                <w:sz w:val="24"/>
                <w:szCs w:val="24"/>
                <w:bdr w:val="none" w:sz="0" w:space="0" w:color="auto" w:frame="1"/>
              </w:rPr>
              <w:t>参与集中的经营者收购境外企业股权或资产的，该境外企业不在中国境内从事经济活动。</w:t>
            </w:r>
          </w:p>
        </w:tc>
      </w:tr>
      <w:tr w:rsidR="002F3D52" w:rsidRPr="002F3D52" w:rsidTr="00540581">
        <w:trPr>
          <w:trHeight w:val="345"/>
        </w:trPr>
        <w:tc>
          <w:tcPr>
            <w:tcW w:w="1809" w:type="dxa"/>
            <w:vMerge/>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p>
        </w:tc>
        <w:tc>
          <w:tcPr>
            <w:tcW w:w="6949" w:type="dxa"/>
            <w:gridSpan w:val="2"/>
            <w:vAlign w:val="center"/>
          </w:tcPr>
          <w:p w:rsidR="00CB00DF" w:rsidRPr="002F3D52" w:rsidRDefault="00CB00DF" w:rsidP="006908A4">
            <w:pPr>
              <w:spacing w:line="500" w:lineRule="exact"/>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□6.</w:t>
            </w:r>
            <w:r w:rsidRPr="002F3D52">
              <w:rPr>
                <w:rFonts w:ascii="Times New Roman" w:eastAsia="楷体_GB2312" w:hAnsi="Times New Roman"/>
                <w:kern w:val="0"/>
                <w:sz w:val="24"/>
                <w:szCs w:val="24"/>
                <w:bdr w:val="none" w:sz="0" w:space="0" w:color="auto" w:frame="1"/>
              </w:rPr>
              <w:t>由两个以上的经营者共同控制的合营企业，通过集中被其中一个或一个以上经营者控制。</w:t>
            </w:r>
          </w:p>
        </w:tc>
      </w:tr>
      <w:tr w:rsidR="002F3D52" w:rsidRPr="002F3D52" w:rsidTr="00CB00DF">
        <w:tc>
          <w:tcPr>
            <w:tcW w:w="1809" w:type="dxa"/>
            <w:shd w:val="clear" w:color="auto" w:fill="D9D9D9"/>
            <w:vAlign w:val="center"/>
          </w:tcPr>
          <w:p w:rsidR="00CB00DF" w:rsidRPr="002F3D52" w:rsidRDefault="00CB00DF" w:rsidP="00CB00DF">
            <w:pPr>
              <w:spacing w:line="500" w:lineRule="exact"/>
              <w:jc w:val="center"/>
              <w:rPr>
                <w:rFonts w:ascii="Times New Roman" w:eastAsia="楷体_GB2312" w:hAnsi="Times New Roman"/>
                <w:kern w:val="0"/>
                <w:sz w:val="24"/>
                <w:szCs w:val="24"/>
                <w:bdr w:val="none" w:sz="0" w:space="0" w:color="auto" w:frame="1"/>
              </w:rPr>
            </w:pPr>
            <w:r w:rsidRPr="002F3D52">
              <w:rPr>
                <w:rFonts w:ascii="Times New Roman" w:eastAsia="楷体_GB2312" w:hAnsi="Times New Roman"/>
                <w:kern w:val="0"/>
                <w:sz w:val="24"/>
                <w:szCs w:val="24"/>
                <w:bdr w:val="none" w:sz="0" w:space="0" w:color="auto" w:frame="1"/>
              </w:rPr>
              <w:t>备注</w:t>
            </w:r>
          </w:p>
        </w:tc>
        <w:tc>
          <w:tcPr>
            <w:tcW w:w="6949" w:type="dxa"/>
            <w:gridSpan w:val="2"/>
          </w:tcPr>
          <w:p w:rsidR="009216CE" w:rsidRPr="002F3D52" w:rsidRDefault="00CA2C00" w:rsidP="00CA2C00">
            <w:pPr>
              <w:spacing w:line="500" w:lineRule="exact"/>
              <w:rPr>
                <w:rFonts w:ascii="Times New Roman" w:eastAsia="楷体_GB2312" w:hAnsi="Times New Roman"/>
                <w:sz w:val="24"/>
                <w:szCs w:val="24"/>
              </w:rPr>
            </w:pPr>
            <w:r w:rsidRPr="002F3D52">
              <w:rPr>
                <w:rFonts w:ascii="Times New Roman" w:eastAsia="楷体_GB2312" w:hAnsi="Times New Roman"/>
                <w:sz w:val="24"/>
                <w:szCs w:val="24"/>
              </w:rPr>
              <w:t>无</w:t>
            </w:r>
          </w:p>
          <w:p w:rsidR="00CA2C00" w:rsidRPr="002F3D52" w:rsidRDefault="00CA2C00" w:rsidP="00CA2C00">
            <w:pPr>
              <w:spacing w:line="500" w:lineRule="exact"/>
              <w:rPr>
                <w:rFonts w:ascii="Times New Roman" w:eastAsia="楷体_GB2312" w:hAnsi="Times New Roman"/>
                <w:b/>
                <w:sz w:val="24"/>
                <w:szCs w:val="24"/>
                <w:u w:val="single"/>
              </w:rPr>
            </w:pPr>
          </w:p>
        </w:tc>
      </w:tr>
    </w:tbl>
    <w:p w:rsidR="00CB00DF" w:rsidRPr="002F3D52" w:rsidRDefault="00CB00DF" w:rsidP="00CB00DF">
      <w:pPr>
        <w:snapToGrid w:val="0"/>
        <w:spacing w:line="240" w:lineRule="exact"/>
        <w:jc w:val="left"/>
        <w:rPr>
          <w:rFonts w:ascii="Times New Roman" w:eastAsia="楷体_GB2312" w:hAnsi="Times New Roman"/>
          <w:sz w:val="24"/>
          <w:szCs w:val="24"/>
        </w:rPr>
      </w:pPr>
    </w:p>
    <w:p w:rsidR="00CB00DF" w:rsidRPr="002F3D52" w:rsidRDefault="00CB00DF" w:rsidP="00CB00DF">
      <w:pPr>
        <w:snapToGrid w:val="0"/>
        <w:spacing w:line="240" w:lineRule="exact"/>
        <w:jc w:val="left"/>
        <w:rPr>
          <w:rFonts w:ascii="Times New Roman" w:eastAsia="楷体_GB2312" w:hAnsi="Times New Roman"/>
          <w:sz w:val="24"/>
          <w:szCs w:val="24"/>
        </w:rPr>
      </w:pPr>
      <w:r w:rsidRPr="002F3D52">
        <w:rPr>
          <w:rFonts w:ascii="Times New Roman" w:eastAsia="楷体_GB2312" w:hAnsi="Times New Roman"/>
          <w:sz w:val="24"/>
          <w:szCs w:val="24"/>
        </w:rPr>
        <w:t>注解：</w:t>
      </w:r>
    </w:p>
    <w:p w:rsidR="00CB00DF" w:rsidRPr="002F3D52" w:rsidRDefault="00CB00DF" w:rsidP="00CB00DF">
      <w:pPr>
        <w:snapToGrid w:val="0"/>
        <w:spacing w:line="360" w:lineRule="auto"/>
        <w:ind w:firstLineChars="200" w:firstLine="480"/>
        <w:jc w:val="left"/>
        <w:rPr>
          <w:rFonts w:ascii="Times New Roman" w:eastAsia="楷体_GB2312" w:hAnsi="Times New Roman"/>
          <w:sz w:val="24"/>
          <w:szCs w:val="24"/>
        </w:rPr>
      </w:pPr>
      <w:r w:rsidRPr="002F3D52">
        <w:rPr>
          <w:rFonts w:ascii="Times New Roman" w:eastAsia="楷体_GB2312" w:hAnsi="Times New Roman"/>
          <w:sz w:val="24"/>
          <w:szCs w:val="24"/>
        </w:rPr>
        <w:t>1.</w:t>
      </w:r>
      <w:r w:rsidRPr="002F3D52">
        <w:rPr>
          <w:rFonts w:ascii="Times New Roman" w:eastAsia="楷体_GB2312" w:hAnsi="Times New Roman"/>
          <w:sz w:val="24"/>
          <w:szCs w:val="24"/>
        </w:rPr>
        <w:t>申报方申请简易案件的理由是基于</w:t>
      </w:r>
      <w:r w:rsidRPr="002F3D52">
        <w:rPr>
          <w:rFonts w:ascii="Times New Roman" w:eastAsia="楷体_GB2312" w:hAnsi="Times New Roman"/>
          <w:sz w:val="24"/>
          <w:szCs w:val="24"/>
        </w:rPr>
        <w:t>1-3</w:t>
      </w:r>
      <w:r w:rsidRPr="002F3D52">
        <w:rPr>
          <w:rFonts w:ascii="Times New Roman" w:eastAsia="楷体_GB2312" w:hAnsi="Times New Roman"/>
          <w:sz w:val="24"/>
          <w:szCs w:val="24"/>
        </w:rPr>
        <w:t>项时，须在备注中说明界定的相关商品市场和相关地域市场（无须阐述界定理由），以及相关市场份额；市场份额可以区间形式提供，区间幅度不应超过</w:t>
      </w:r>
      <w:r w:rsidRPr="002F3D52">
        <w:rPr>
          <w:rFonts w:ascii="Times New Roman" w:eastAsia="楷体_GB2312" w:hAnsi="Times New Roman"/>
          <w:sz w:val="24"/>
          <w:szCs w:val="24"/>
        </w:rPr>
        <w:t>5%</w:t>
      </w:r>
      <w:r w:rsidRPr="002F3D52">
        <w:rPr>
          <w:rFonts w:ascii="Times New Roman" w:eastAsia="楷体_GB2312" w:hAnsi="Times New Roman"/>
          <w:sz w:val="24"/>
          <w:szCs w:val="24"/>
        </w:rPr>
        <w:t>。</w:t>
      </w:r>
      <w:r w:rsidRPr="002F3D52">
        <w:rPr>
          <w:rFonts w:ascii="Times New Roman" w:eastAsia="楷体_GB2312" w:hAnsi="Times New Roman"/>
          <w:sz w:val="24"/>
          <w:szCs w:val="24"/>
        </w:rPr>
        <w:t>1-3</w:t>
      </w:r>
      <w:r w:rsidRPr="002F3D52">
        <w:rPr>
          <w:rFonts w:ascii="Times New Roman" w:eastAsia="楷体_GB2312" w:hAnsi="Times New Roman"/>
          <w:sz w:val="24"/>
          <w:szCs w:val="24"/>
        </w:rPr>
        <w:t>项可以多选，也可单选；没有勾选的，视为本集中不涉及该类型交易。</w:t>
      </w:r>
    </w:p>
    <w:p w:rsidR="00CB00DF" w:rsidRPr="002F3D52" w:rsidRDefault="00CB00DF" w:rsidP="00CB00DF">
      <w:pPr>
        <w:spacing w:line="360" w:lineRule="auto"/>
        <w:ind w:firstLineChars="200" w:firstLine="480"/>
        <w:rPr>
          <w:rFonts w:ascii="Times New Roman" w:eastAsia="楷体_GB2312" w:hAnsi="Times New Roman"/>
          <w:sz w:val="24"/>
          <w:szCs w:val="24"/>
        </w:rPr>
      </w:pPr>
      <w:r w:rsidRPr="002F3D52">
        <w:rPr>
          <w:rFonts w:ascii="Times New Roman" w:eastAsia="楷体_GB2312" w:hAnsi="Times New Roman"/>
          <w:sz w:val="24"/>
          <w:szCs w:val="24"/>
        </w:rPr>
        <w:t>2.</w:t>
      </w:r>
      <w:r w:rsidRPr="002F3D52">
        <w:rPr>
          <w:rFonts w:ascii="Times New Roman" w:eastAsia="楷体_GB2312" w:hAnsi="Times New Roman"/>
          <w:sz w:val="24"/>
          <w:szCs w:val="24"/>
        </w:rPr>
        <w:t>申报方申请简易案件的理由是基于第</w:t>
      </w:r>
      <w:r w:rsidRPr="002F3D52">
        <w:rPr>
          <w:rFonts w:ascii="Times New Roman" w:eastAsia="楷体_GB2312" w:hAnsi="Times New Roman"/>
          <w:sz w:val="24"/>
          <w:szCs w:val="24"/>
        </w:rPr>
        <w:t>4</w:t>
      </w:r>
      <w:r w:rsidRPr="002F3D52">
        <w:rPr>
          <w:rFonts w:ascii="Times New Roman" w:eastAsia="楷体_GB2312" w:hAnsi="Times New Roman"/>
          <w:sz w:val="24"/>
          <w:szCs w:val="24"/>
        </w:rPr>
        <w:t>项、第</w:t>
      </w:r>
      <w:r w:rsidRPr="002F3D52">
        <w:rPr>
          <w:rFonts w:ascii="Times New Roman" w:eastAsia="楷体_GB2312" w:hAnsi="Times New Roman"/>
          <w:sz w:val="24"/>
          <w:szCs w:val="24"/>
        </w:rPr>
        <w:t>5</w:t>
      </w:r>
      <w:r w:rsidRPr="002F3D52">
        <w:rPr>
          <w:rFonts w:ascii="Times New Roman" w:eastAsia="楷体_GB2312" w:hAnsi="Times New Roman"/>
          <w:sz w:val="24"/>
          <w:szCs w:val="24"/>
        </w:rPr>
        <w:t>项时，无须在备注中说明相关市场和市场份额。</w:t>
      </w:r>
      <w:r w:rsidRPr="002F3D52">
        <w:rPr>
          <w:rFonts w:ascii="Times New Roman" w:eastAsia="楷体_GB2312" w:hAnsi="Times New Roman"/>
          <w:sz w:val="24"/>
          <w:szCs w:val="24"/>
        </w:rPr>
        <w:br/>
        <w:t xml:space="preserve">    3.</w:t>
      </w:r>
      <w:r w:rsidRPr="002F3D52">
        <w:rPr>
          <w:rFonts w:ascii="Times New Roman" w:eastAsia="楷体_GB2312"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2F3D52">
        <w:rPr>
          <w:rFonts w:ascii="Times New Roman" w:eastAsia="楷体_GB2312" w:hAnsi="Times New Roman"/>
          <w:sz w:val="24"/>
          <w:szCs w:val="24"/>
        </w:rPr>
        <w:t>1</w:t>
      </w:r>
      <w:r w:rsidRPr="002F3D52">
        <w:rPr>
          <w:rFonts w:ascii="Times New Roman" w:eastAsia="楷体_GB2312" w:hAnsi="Times New Roman"/>
          <w:sz w:val="24"/>
          <w:szCs w:val="24"/>
        </w:rPr>
        <w:t>项和第</w:t>
      </w:r>
      <w:r w:rsidRPr="002F3D52">
        <w:rPr>
          <w:rFonts w:ascii="Times New Roman" w:eastAsia="楷体_GB2312" w:hAnsi="Times New Roman"/>
          <w:sz w:val="24"/>
          <w:szCs w:val="24"/>
        </w:rPr>
        <w:t>6</w:t>
      </w:r>
      <w:r w:rsidRPr="002F3D52">
        <w:rPr>
          <w:rFonts w:ascii="Times New Roman" w:eastAsia="楷体_GB2312" w:hAnsi="Times New Roman"/>
          <w:sz w:val="24"/>
          <w:szCs w:val="24"/>
        </w:rPr>
        <w:t>项理由，并在备注中说明界定的相关商品市场和相关地域市场（无须阐述界定理由），以及相关市场份额。市场份额可以区间形式提供，区间幅度不应超过</w:t>
      </w:r>
      <w:r w:rsidRPr="002F3D52">
        <w:rPr>
          <w:rFonts w:ascii="Times New Roman" w:eastAsia="楷体_GB2312" w:hAnsi="Times New Roman"/>
          <w:sz w:val="24"/>
          <w:szCs w:val="24"/>
        </w:rPr>
        <w:t>5%</w:t>
      </w:r>
      <w:r w:rsidRPr="002F3D52">
        <w:rPr>
          <w:rFonts w:ascii="Times New Roman" w:eastAsia="楷体_GB2312" w:hAnsi="Times New Roman"/>
          <w:sz w:val="24"/>
          <w:szCs w:val="24"/>
        </w:rPr>
        <w:t>。</w:t>
      </w:r>
    </w:p>
    <w:p w:rsidR="00CB00DF" w:rsidRPr="002F3D52" w:rsidRDefault="00CB00DF" w:rsidP="00CB00DF">
      <w:pPr>
        <w:rPr>
          <w:rFonts w:ascii="Times New Roman" w:eastAsia="楷体_GB2312" w:hAnsi="Times New Roman"/>
          <w:sz w:val="24"/>
          <w:szCs w:val="24"/>
        </w:rPr>
      </w:pPr>
    </w:p>
    <w:p w:rsidR="000F5E24" w:rsidRPr="002F3D52" w:rsidRDefault="00E9290E">
      <w:pPr>
        <w:rPr>
          <w:rFonts w:ascii="Times New Roman" w:eastAsia="楷体_GB2312" w:hAnsi="Times New Roman"/>
          <w:sz w:val="24"/>
          <w:szCs w:val="24"/>
        </w:rPr>
      </w:pPr>
    </w:p>
    <w:sectPr w:rsidR="000F5E24" w:rsidRPr="002F3D5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332" w:rsidRDefault="00E33332" w:rsidP="007703E0">
      <w:r>
        <w:separator/>
      </w:r>
    </w:p>
  </w:endnote>
  <w:endnote w:type="continuationSeparator" w:id="0">
    <w:p w:rsidR="00E33332" w:rsidRDefault="00E33332" w:rsidP="0077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332" w:rsidRDefault="00E33332" w:rsidP="007703E0">
      <w:r>
        <w:separator/>
      </w:r>
    </w:p>
  </w:footnote>
  <w:footnote w:type="continuationSeparator" w:id="0">
    <w:p w:rsidR="00E33332" w:rsidRDefault="00E33332" w:rsidP="00770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2727A9"/>
    <w:multiLevelType w:val="hybridMultilevel"/>
    <w:tmpl w:val="5E9292B2"/>
    <w:lvl w:ilvl="0" w:tplc="B9D84D8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BFC"/>
    <w:rsid w:val="000D7EBA"/>
    <w:rsid w:val="001164CD"/>
    <w:rsid w:val="00155717"/>
    <w:rsid w:val="001837A3"/>
    <w:rsid w:val="00213BCA"/>
    <w:rsid w:val="002F3D52"/>
    <w:rsid w:val="00300479"/>
    <w:rsid w:val="003166E5"/>
    <w:rsid w:val="003578D8"/>
    <w:rsid w:val="00397794"/>
    <w:rsid w:val="003C0AEB"/>
    <w:rsid w:val="004F431A"/>
    <w:rsid w:val="004F7688"/>
    <w:rsid w:val="00533330"/>
    <w:rsid w:val="00540581"/>
    <w:rsid w:val="00544AE7"/>
    <w:rsid w:val="00561070"/>
    <w:rsid w:val="006467D8"/>
    <w:rsid w:val="006737E4"/>
    <w:rsid w:val="006A531B"/>
    <w:rsid w:val="006F7693"/>
    <w:rsid w:val="00710140"/>
    <w:rsid w:val="007327A7"/>
    <w:rsid w:val="007703E0"/>
    <w:rsid w:val="007B6176"/>
    <w:rsid w:val="007F2275"/>
    <w:rsid w:val="008350F4"/>
    <w:rsid w:val="008E1DBF"/>
    <w:rsid w:val="00915F0F"/>
    <w:rsid w:val="009216CE"/>
    <w:rsid w:val="009221E2"/>
    <w:rsid w:val="009532DF"/>
    <w:rsid w:val="00975C84"/>
    <w:rsid w:val="00997019"/>
    <w:rsid w:val="009A5029"/>
    <w:rsid w:val="009D38D5"/>
    <w:rsid w:val="009D5152"/>
    <w:rsid w:val="00A53F26"/>
    <w:rsid w:val="00A8399C"/>
    <w:rsid w:val="00AA0CC5"/>
    <w:rsid w:val="00B16AFE"/>
    <w:rsid w:val="00B65DD5"/>
    <w:rsid w:val="00BA4778"/>
    <w:rsid w:val="00BD10B6"/>
    <w:rsid w:val="00C07076"/>
    <w:rsid w:val="00CA2C00"/>
    <w:rsid w:val="00CB00DF"/>
    <w:rsid w:val="00CB2271"/>
    <w:rsid w:val="00D434CD"/>
    <w:rsid w:val="00D56F4A"/>
    <w:rsid w:val="00D73C72"/>
    <w:rsid w:val="00E00ACB"/>
    <w:rsid w:val="00E0592B"/>
    <w:rsid w:val="00E21D54"/>
    <w:rsid w:val="00E31738"/>
    <w:rsid w:val="00E33332"/>
    <w:rsid w:val="00E86786"/>
    <w:rsid w:val="00E9290E"/>
    <w:rsid w:val="00EC1743"/>
    <w:rsid w:val="00ED2F80"/>
    <w:rsid w:val="00EE0A39"/>
    <w:rsid w:val="00F01FBB"/>
    <w:rsid w:val="00F1624E"/>
    <w:rsid w:val="00F237C1"/>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BC8E629C-9CE8-4B16-9DA0-842C34B5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03E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03E0"/>
    <w:rPr>
      <w:rFonts w:ascii="Calibri" w:eastAsia="宋体" w:hAnsi="Calibri" w:cs="Times New Roman"/>
      <w:sz w:val="18"/>
      <w:szCs w:val="18"/>
    </w:rPr>
  </w:style>
  <w:style w:type="paragraph" w:styleId="a5">
    <w:name w:val="footer"/>
    <w:basedOn w:val="a"/>
    <w:link w:val="a6"/>
    <w:uiPriority w:val="99"/>
    <w:unhideWhenUsed/>
    <w:rsid w:val="007703E0"/>
    <w:pPr>
      <w:tabs>
        <w:tab w:val="center" w:pos="4153"/>
        <w:tab w:val="right" w:pos="8306"/>
      </w:tabs>
      <w:snapToGrid w:val="0"/>
      <w:jc w:val="left"/>
    </w:pPr>
    <w:rPr>
      <w:sz w:val="18"/>
      <w:szCs w:val="18"/>
    </w:rPr>
  </w:style>
  <w:style w:type="character" w:customStyle="1" w:styleId="a6">
    <w:name w:val="页脚 字符"/>
    <w:basedOn w:val="a0"/>
    <w:link w:val="a5"/>
    <w:uiPriority w:val="99"/>
    <w:rsid w:val="007703E0"/>
    <w:rPr>
      <w:rFonts w:ascii="Calibri" w:eastAsia="宋体" w:hAnsi="Calibri" w:cs="Times New Roman"/>
      <w:sz w:val="18"/>
      <w:szCs w:val="18"/>
    </w:rPr>
  </w:style>
  <w:style w:type="paragraph" w:styleId="a7">
    <w:name w:val="List Paragraph"/>
    <w:basedOn w:val="a"/>
    <w:uiPriority w:val="34"/>
    <w:qFormat/>
    <w:rsid w:val="009216C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King &amp; Wood Mallesons</cp:lastModifiedBy>
  <cp:revision>6</cp:revision>
  <dcterms:created xsi:type="dcterms:W3CDTF">2019-08-14T11:20:00Z</dcterms:created>
  <dcterms:modified xsi:type="dcterms:W3CDTF">2019-09-12T07:47:00Z</dcterms:modified>
</cp:coreProperties>
</file>