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FD7" w:rsidRPr="001F0BA3" w:rsidRDefault="00716FD7" w:rsidP="00716FD7">
      <w:pPr>
        <w:spacing w:after="0" w:line="240" w:lineRule="auto"/>
        <w:jc w:val="center"/>
        <w:rPr>
          <w:rFonts w:ascii="仿宋" w:eastAsia="仿宋" w:hAnsi="仿宋" w:cs="Times New Roman"/>
          <w:b/>
          <w:sz w:val="28"/>
          <w:szCs w:val="28"/>
        </w:rPr>
      </w:pPr>
      <w:r w:rsidRPr="001F0BA3">
        <w:rPr>
          <w:rFonts w:ascii="仿宋" w:eastAsia="仿宋" w:hAnsi="仿宋" w:cs="Times New Roman"/>
          <w:b/>
          <w:sz w:val="28"/>
          <w:szCs w:val="28"/>
        </w:rPr>
        <w:t>经营者集中简易案件公示表</w:t>
      </w:r>
    </w:p>
    <w:p w:rsidR="00716FD7" w:rsidRPr="001F0BA3" w:rsidRDefault="00716FD7" w:rsidP="00716FD7">
      <w:pPr>
        <w:spacing w:after="0" w:line="240" w:lineRule="auto"/>
        <w:jc w:val="center"/>
        <w:rPr>
          <w:rFonts w:ascii="仿宋" w:eastAsia="仿宋" w:hAnsi="仿宋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16FD7" w:rsidRPr="001F0BA3" w:rsidTr="004676E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716FD7" w:rsidRPr="007F6D8C" w:rsidRDefault="008F2B04" w:rsidP="00027A7E">
            <w:pPr>
              <w:spacing w:after="0" w:line="300" w:lineRule="auto"/>
              <w:jc w:val="both"/>
              <w:rPr>
                <w:rFonts w:ascii="仿宋" w:eastAsia="仿宋" w:hAnsi="仿宋" w:cs="Times New Roman"/>
                <w:szCs w:val="24"/>
              </w:rPr>
            </w:pPr>
            <w:r w:rsidRPr="008F2B04">
              <w:rPr>
                <w:rFonts w:ascii="仿宋" w:eastAsia="仿宋" w:hAnsi="仿宋" w:cs="Times New Roman" w:hint="eastAsia"/>
                <w:szCs w:val="24"/>
              </w:rPr>
              <w:t>法国投资信托局和法国安盟</w:t>
            </w:r>
            <w:r w:rsidRPr="008F2B04">
              <w:rPr>
                <w:rFonts w:ascii="仿宋" w:eastAsia="仿宋" w:hAnsi="仿宋" w:cs="Times New Roman"/>
                <w:szCs w:val="24"/>
              </w:rPr>
              <w:t>-甘集团收购 Predica Energies Durables SAS 公司股权案</w:t>
            </w:r>
          </w:p>
        </w:tc>
      </w:tr>
      <w:tr w:rsidR="00716FD7" w:rsidRPr="001F0BA3" w:rsidTr="004676E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 w:rsidR="001F0BA3" w:rsidRPr="007F6D8C" w:rsidRDefault="00027A7E" w:rsidP="00027A7E">
            <w:pPr>
              <w:spacing w:after="0"/>
              <w:rPr>
                <w:rFonts w:ascii="仿宋" w:eastAsia="仿宋" w:hAnsi="仿宋" w:cs="Times New Roman"/>
                <w:szCs w:val="24"/>
              </w:rPr>
            </w:pPr>
            <w:r w:rsidRPr="007F6D8C">
              <w:rPr>
                <w:rFonts w:ascii="仿宋" w:eastAsia="仿宋" w:hAnsi="仿宋" w:cs="Times New Roman"/>
                <w:szCs w:val="24"/>
              </w:rPr>
              <w:t>Predica Energies Durables SAS 公司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（“</w:t>
            </w:r>
            <w:r w:rsidRPr="007F6D8C">
              <w:rPr>
                <w:rFonts w:ascii="仿宋" w:eastAsia="仿宋" w:hAnsi="仿宋" w:cs="Times New Roman" w:hint="eastAsia"/>
                <w:b/>
                <w:szCs w:val="24"/>
              </w:rPr>
              <w:t>目标公司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”）目前由</w:t>
            </w:r>
            <w:r w:rsidRPr="007F6D8C">
              <w:rPr>
                <w:rFonts w:ascii="仿宋" w:eastAsia="仿宋" w:hAnsi="仿宋" w:cs="Times New Roman"/>
                <w:szCs w:val="24"/>
              </w:rPr>
              <w:t>Predica Prévoyance Dialogue du Crédit Agricole 公司（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“</w:t>
            </w:r>
            <w:r w:rsidRPr="007F6D8C">
              <w:rPr>
                <w:rFonts w:ascii="仿宋" w:eastAsia="仿宋" w:hAnsi="仿宋" w:cs="Times New Roman" w:hint="eastAsia"/>
                <w:b/>
                <w:szCs w:val="24"/>
              </w:rPr>
              <w:t>Pre</w:t>
            </w:r>
            <w:r w:rsidRPr="007F6D8C">
              <w:rPr>
                <w:rFonts w:ascii="仿宋" w:eastAsia="仿宋" w:hAnsi="仿宋" w:cs="Times New Roman"/>
                <w:b/>
                <w:szCs w:val="24"/>
              </w:rPr>
              <w:t>dica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”，</w:t>
            </w:r>
            <w:r w:rsidRPr="007F6D8C">
              <w:rPr>
                <w:rFonts w:ascii="仿宋" w:eastAsia="仿宋" w:hAnsi="仿宋" w:cs="Times New Roman"/>
                <w:szCs w:val="24"/>
              </w:rPr>
              <w:t>持有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目标公司</w:t>
            </w:r>
            <w:r w:rsidRPr="007F6D8C">
              <w:rPr>
                <w:rFonts w:ascii="仿宋" w:eastAsia="仿宋" w:hAnsi="仿宋" w:cs="Times New Roman"/>
                <w:szCs w:val="24"/>
              </w:rPr>
              <w:t>99.92%的股本）和Omnes Capital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（“</w:t>
            </w:r>
            <w:r w:rsidRPr="007F6D8C">
              <w:rPr>
                <w:rFonts w:ascii="仿宋" w:eastAsia="仿宋" w:hAnsi="仿宋" w:cs="Times New Roman" w:hint="eastAsia"/>
                <w:b/>
                <w:szCs w:val="24"/>
              </w:rPr>
              <w:t>Omne</w:t>
            </w:r>
            <w:r w:rsidRPr="007F6D8C">
              <w:rPr>
                <w:rFonts w:ascii="仿宋" w:eastAsia="仿宋" w:hAnsi="仿宋" w:cs="Times New Roman"/>
                <w:b/>
                <w:szCs w:val="24"/>
              </w:rPr>
              <w:t>s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”）</w:t>
            </w:r>
            <w:r w:rsidRPr="007F6D8C">
              <w:rPr>
                <w:rFonts w:ascii="仿宋" w:eastAsia="仿宋" w:hAnsi="仿宋" w:cs="Times New Roman"/>
                <w:szCs w:val="24"/>
              </w:rPr>
              <w:t>共同控制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。</w:t>
            </w:r>
          </w:p>
          <w:p w:rsidR="001F0BA3" w:rsidRPr="007F6D8C" w:rsidRDefault="001F0BA3" w:rsidP="00027A7E">
            <w:pPr>
              <w:spacing w:after="0"/>
              <w:rPr>
                <w:rFonts w:ascii="仿宋" w:eastAsia="仿宋" w:hAnsi="仿宋" w:cs="Times New Roman"/>
                <w:szCs w:val="24"/>
              </w:rPr>
            </w:pPr>
          </w:p>
          <w:p w:rsidR="00716FD7" w:rsidRPr="007F6D8C" w:rsidRDefault="00027A7E" w:rsidP="00027A7E">
            <w:pPr>
              <w:spacing w:after="0"/>
              <w:rPr>
                <w:rFonts w:ascii="仿宋" w:eastAsia="仿宋" w:hAnsi="仿宋" w:cs="Times New Roman"/>
                <w:szCs w:val="24"/>
              </w:rPr>
            </w:pPr>
            <w:r w:rsidRPr="007F6D8C">
              <w:rPr>
                <w:rFonts w:ascii="仿宋" w:eastAsia="仿宋" w:hAnsi="仿宋" w:cs="Times New Roman" w:hint="eastAsia"/>
                <w:szCs w:val="24"/>
              </w:rPr>
              <w:t>通过本次交易，法国投资信托局</w:t>
            </w:r>
            <w:r w:rsidRPr="007F6D8C">
              <w:rPr>
                <w:rFonts w:ascii="仿宋" w:eastAsia="仿宋" w:hAnsi="仿宋" w:cs="Times New Roman"/>
                <w:szCs w:val="24"/>
              </w:rPr>
              <w:t>、</w:t>
            </w:r>
            <w:r w:rsidR="008F2B04" w:rsidRPr="008F2B04">
              <w:rPr>
                <w:rFonts w:ascii="仿宋" w:eastAsia="仿宋" w:hAnsi="仿宋" w:cs="Times New Roman" w:hint="eastAsia"/>
                <w:szCs w:val="24"/>
              </w:rPr>
              <w:t>法国安盟</w:t>
            </w:r>
            <w:r w:rsidR="008F2B04" w:rsidRPr="008F2B04">
              <w:rPr>
                <w:rFonts w:ascii="仿宋" w:eastAsia="仿宋" w:hAnsi="仿宋" w:cs="Times New Roman"/>
                <w:szCs w:val="24"/>
              </w:rPr>
              <w:t>-甘集团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、Pre</w:t>
            </w:r>
            <w:r w:rsidRPr="007F6D8C">
              <w:rPr>
                <w:rFonts w:ascii="仿宋" w:eastAsia="仿宋" w:hAnsi="仿宋" w:cs="Times New Roman"/>
                <w:szCs w:val="24"/>
              </w:rPr>
              <w:t>dica和Omnes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将取得对</w:t>
            </w:r>
            <w:r w:rsidRPr="007F6D8C">
              <w:rPr>
                <w:rFonts w:ascii="仿宋" w:eastAsia="仿宋" w:hAnsi="仿宋" w:cs="Times New Roman"/>
                <w:szCs w:val="24"/>
              </w:rPr>
              <w:t>Predica Energies Durables SAS 公司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的</w:t>
            </w:r>
            <w:r w:rsidRPr="007F6D8C">
              <w:rPr>
                <w:rFonts w:ascii="仿宋" w:eastAsia="仿宋" w:hAnsi="仿宋" w:cs="Times New Roman"/>
                <w:szCs w:val="24"/>
              </w:rPr>
              <w:t>共同控制</w:t>
            </w:r>
            <w:r w:rsidRPr="007F6D8C">
              <w:rPr>
                <w:rFonts w:ascii="仿宋" w:eastAsia="仿宋" w:hAnsi="仿宋" w:cs="Times New Roman" w:hint="eastAsia"/>
                <w:szCs w:val="24"/>
              </w:rPr>
              <w:t>。</w:t>
            </w:r>
          </w:p>
        </w:tc>
      </w:tr>
      <w:tr w:rsidR="00027A7E" w:rsidRPr="001F0BA3" w:rsidTr="001F0BA3">
        <w:trPr>
          <w:trHeight w:val="1331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27A7E" w:rsidRPr="001F0BA3" w:rsidRDefault="00027A7E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27A7E" w:rsidRPr="007F6D8C" w:rsidRDefault="00027A7E" w:rsidP="00027A7E">
            <w:pPr>
              <w:spacing w:after="0" w:line="300" w:lineRule="auto"/>
              <w:jc w:val="both"/>
              <w:rPr>
                <w:rFonts w:ascii="仿宋" w:eastAsia="仿宋" w:hAnsi="仿宋" w:cs="Times New Roman"/>
              </w:rPr>
            </w:pPr>
            <w:r w:rsidRPr="007F6D8C">
              <w:rPr>
                <w:rFonts w:ascii="仿宋" w:eastAsia="仿宋" w:hAnsi="仿宋" w:cs="Times New Roman"/>
              </w:rPr>
              <w:t>1、</w:t>
            </w:r>
            <w:r w:rsidR="008F2B04" w:rsidRPr="008F2B04">
              <w:rPr>
                <w:rFonts w:ascii="仿宋" w:eastAsia="仿宋" w:hAnsi="仿宋" w:cs="Times New Roman" w:hint="eastAsia"/>
                <w:szCs w:val="24"/>
              </w:rPr>
              <w:t>法国安盟</w:t>
            </w:r>
            <w:r w:rsidR="008F2B04" w:rsidRPr="008F2B04">
              <w:rPr>
                <w:rFonts w:ascii="仿宋" w:eastAsia="仿宋" w:hAnsi="仿宋" w:cs="Times New Roman"/>
                <w:szCs w:val="24"/>
              </w:rPr>
              <w:t>-甘集团</w:t>
            </w:r>
          </w:p>
        </w:tc>
        <w:tc>
          <w:tcPr>
            <w:tcW w:w="5153" w:type="dxa"/>
            <w:vAlign w:val="center"/>
          </w:tcPr>
          <w:p w:rsidR="00027A7E" w:rsidRPr="007F6D8C" w:rsidRDefault="00027A7E" w:rsidP="00716FD7">
            <w:pPr>
              <w:snapToGrid w:val="0"/>
              <w:spacing w:after="0"/>
              <w:rPr>
                <w:rFonts w:ascii="仿宋" w:eastAsia="仿宋" w:hAnsi="仿宋" w:cs="Times New Roman"/>
              </w:rPr>
            </w:pPr>
            <w:bookmarkStart w:id="0" w:name="_GoBack"/>
            <w:bookmarkEnd w:id="0"/>
            <w:r w:rsidRPr="007F6D8C">
              <w:rPr>
                <w:rFonts w:ascii="仿宋" w:eastAsia="仿宋" w:hAnsi="仿宋" w:cs="Times New Roman"/>
              </w:rPr>
              <w:t>主要</w:t>
            </w:r>
            <w:r w:rsidRPr="007F6D8C">
              <w:rPr>
                <w:rFonts w:ascii="仿宋" w:eastAsia="仿宋" w:hAnsi="仿宋" w:cs="Times New Roman" w:hint="eastAsia"/>
              </w:rPr>
              <w:t>从事</w:t>
            </w:r>
            <w:r w:rsidRPr="007F6D8C">
              <w:rPr>
                <w:rFonts w:ascii="仿宋" w:eastAsia="仿宋" w:hAnsi="仿宋" w:cs="Times New Roman"/>
              </w:rPr>
              <w:t>保险</w:t>
            </w:r>
            <w:r w:rsidRPr="007F6D8C">
              <w:rPr>
                <w:rFonts w:ascii="仿宋" w:eastAsia="仿宋" w:hAnsi="仿宋" w:cs="Times New Roman" w:hint="eastAsia"/>
              </w:rPr>
              <w:t>业</w:t>
            </w:r>
            <w:r w:rsidRPr="007F6D8C">
              <w:rPr>
                <w:rFonts w:ascii="仿宋" w:eastAsia="仿宋" w:hAnsi="仿宋" w:cs="Times New Roman"/>
              </w:rPr>
              <w:t>（财产</w:t>
            </w:r>
            <w:r w:rsidRPr="007F6D8C">
              <w:rPr>
                <w:rFonts w:ascii="仿宋" w:eastAsia="仿宋" w:hAnsi="仿宋" w:cs="Times New Roman" w:hint="eastAsia"/>
              </w:rPr>
              <w:t>保险</w:t>
            </w:r>
            <w:r w:rsidRPr="007F6D8C">
              <w:rPr>
                <w:rFonts w:ascii="仿宋" w:eastAsia="仿宋" w:hAnsi="仿宋" w:cs="Times New Roman"/>
              </w:rPr>
              <w:t>、</w:t>
            </w:r>
            <w:r w:rsidRPr="007F6D8C">
              <w:rPr>
                <w:rFonts w:ascii="仿宋" w:eastAsia="仿宋" w:hAnsi="仿宋" w:cs="Times New Roman" w:hint="eastAsia"/>
              </w:rPr>
              <w:t>责任保险</w:t>
            </w:r>
            <w:r w:rsidRPr="007F6D8C">
              <w:rPr>
                <w:rFonts w:ascii="仿宋" w:eastAsia="仿宋" w:hAnsi="仿宋" w:cs="Times New Roman"/>
              </w:rPr>
              <w:t>、人寿保险和健康保险）和金融活动（资产管理和房地产服务），</w:t>
            </w:r>
            <w:r w:rsidRPr="007F6D8C">
              <w:rPr>
                <w:rFonts w:ascii="仿宋" w:eastAsia="仿宋" w:hAnsi="仿宋" w:cs="Times New Roman" w:hint="eastAsia"/>
              </w:rPr>
              <w:t>同时也从事</w:t>
            </w:r>
            <w:r w:rsidRPr="007F6D8C">
              <w:rPr>
                <w:rFonts w:ascii="仿宋" w:eastAsia="仿宋" w:hAnsi="仿宋" w:cs="Times New Roman"/>
              </w:rPr>
              <w:t>银行</w:t>
            </w:r>
            <w:r w:rsidRPr="007F6D8C">
              <w:rPr>
                <w:rFonts w:ascii="仿宋" w:eastAsia="仿宋" w:hAnsi="仿宋" w:cs="Times New Roman" w:hint="eastAsia"/>
              </w:rPr>
              <w:t>业务</w:t>
            </w:r>
            <w:r w:rsidRPr="007F6D8C">
              <w:rPr>
                <w:rFonts w:ascii="仿宋" w:eastAsia="仿宋" w:hAnsi="仿宋" w:cs="Times New Roman"/>
              </w:rPr>
              <w:t>。</w:t>
            </w:r>
          </w:p>
        </w:tc>
      </w:tr>
      <w:tr w:rsidR="00027A7E" w:rsidRPr="001F0BA3" w:rsidTr="004676EC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:rsidR="00027A7E" w:rsidRPr="001F0BA3" w:rsidRDefault="00027A7E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027A7E" w:rsidRPr="007F6D8C" w:rsidRDefault="00027A7E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</w:rPr>
            </w:pPr>
            <w:r w:rsidRPr="007F6D8C">
              <w:rPr>
                <w:rFonts w:ascii="仿宋" w:eastAsia="仿宋" w:hAnsi="仿宋" w:cs="Times New Roman"/>
              </w:rPr>
              <w:t>2、</w:t>
            </w:r>
            <w:r w:rsidRPr="007F6D8C">
              <w:rPr>
                <w:rFonts w:ascii="仿宋" w:eastAsia="仿宋" w:hAnsi="仿宋" w:cs="Times New Roman" w:hint="eastAsia"/>
              </w:rPr>
              <w:t>法国投资信托局</w:t>
            </w:r>
          </w:p>
        </w:tc>
        <w:tc>
          <w:tcPr>
            <w:tcW w:w="5153" w:type="dxa"/>
            <w:vAlign w:val="center"/>
          </w:tcPr>
          <w:p w:rsidR="00027A7E" w:rsidRPr="007F6D8C" w:rsidRDefault="001F0BA3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</w:rPr>
            </w:pPr>
            <w:r w:rsidRPr="007F6D8C">
              <w:rPr>
                <w:rFonts w:ascii="仿宋" w:eastAsia="仿宋" w:hAnsi="仿宋" w:cs="Times New Roman" w:hint="eastAsia"/>
              </w:rPr>
              <w:t>法国投资信托局开展有助于</w:t>
            </w:r>
            <w:r w:rsidRPr="007F6D8C">
              <w:rPr>
                <w:rFonts w:ascii="仿宋" w:eastAsia="仿宋" w:hAnsi="仿宋" w:cs="Times New Roman"/>
              </w:rPr>
              <w:t>法国国家和地方公共政策</w:t>
            </w:r>
            <w:r w:rsidRPr="007F6D8C">
              <w:rPr>
                <w:rFonts w:ascii="仿宋" w:eastAsia="仿宋" w:hAnsi="仿宋" w:cs="Times New Roman" w:hint="eastAsia"/>
              </w:rPr>
              <w:t>的业务</w:t>
            </w:r>
            <w:r w:rsidRPr="007F6D8C">
              <w:rPr>
                <w:rFonts w:ascii="仿宋" w:eastAsia="仿宋" w:hAnsi="仿宋" w:cs="Times New Roman"/>
              </w:rPr>
              <w:t>，</w:t>
            </w:r>
            <w:r w:rsidRPr="007F6D8C">
              <w:rPr>
                <w:rFonts w:ascii="仿宋" w:eastAsia="仿宋" w:hAnsi="仿宋" w:cs="Times New Roman" w:hint="eastAsia"/>
              </w:rPr>
              <w:t>其业务</w:t>
            </w:r>
            <w:r w:rsidRPr="007F6D8C">
              <w:rPr>
                <w:rFonts w:ascii="仿宋" w:eastAsia="仿宋" w:hAnsi="仿宋" w:cs="Times New Roman"/>
              </w:rPr>
              <w:t>围绕</w:t>
            </w:r>
            <w:r w:rsidRPr="007F6D8C">
              <w:rPr>
                <w:rFonts w:ascii="仿宋" w:eastAsia="仿宋" w:hAnsi="仿宋" w:cs="Times New Roman" w:hint="eastAsia"/>
              </w:rPr>
              <w:t>四个方面</w:t>
            </w:r>
            <w:r w:rsidRPr="007F6D8C">
              <w:rPr>
                <w:rFonts w:ascii="仿宋" w:eastAsia="仿宋" w:hAnsi="仿宋" w:cs="Times New Roman"/>
              </w:rPr>
              <w:t>进行：（</w:t>
            </w:r>
            <w:r w:rsidRPr="007F6D8C">
              <w:rPr>
                <w:rFonts w:ascii="仿宋" w:eastAsia="仿宋" w:hAnsi="仿宋" w:cs="Times New Roman" w:hint="eastAsia"/>
              </w:rPr>
              <w:t>1</w:t>
            </w:r>
            <w:r w:rsidRPr="007F6D8C">
              <w:rPr>
                <w:rFonts w:ascii="仿宋" w:eastAsia="仿宋" w:hAnsi="仿宋" w:cs="Times New Roman"/>
              </w:rPr>
              <w:t>）房地产</w:t>
            </w:r>
            <w:r w:rsidRPr="007F6D8C">
              <w:rPr>
                <w:rFonts w:ascii="仿宋" w:eastAsia="仿宋" w:hAnsi="仿宋" w:cs="Times New Roman" w:hint="eastAsia"/>
              </w:rPr>
              <w:t>；（2</w:t>
            </w:r>
            <w:r w:rsidRPr="007F6D8C">
              <w:rPr>
                <w:rFonts w:ascii="仿宋" w:eastAsia="仿宋" w:hAnsi="仿宋" w:cs="Times New Roman"/>
              </w:rPr>
              <w:t>）环境和能源</w:t>
            </w:r>
            <w:r w:rsidRPr="007F6D8C">
              <w:rPr>
                <w:rFonts w:ascii="仿宋" w:eastAsia="仿宋" w:hAnsi="仿宋" w:cs="Times New Roman" w:hint="eastAsia"/>
              </w:rPr>
              <w:t>；（3</w:t>
            </w:r>
            <w:r w:rsidRPr="007F6D8C">
              <w:rPr>
                <w:rFonts w:ascii="仿宋" w:eastAsia="仿宋" w:hAnsi="仿宋" w:cs="Times New Roman"/>
              </w:rPr>
              <w:t>）服务</w:t>
            </w:r>
            <w:r w:rsidRPr="007F6D8C">
              <w:rPr>
                <w:rFonts w:ascii="仿宋" w:eastAsia="仿宋" w:hAnsi="仿宋" w:cs="Times New Roman" w:hint="eastAsia"/>
              </w:rPr>
              <w:t>；</w:t>
            </w:r>
            <w:r w:rsidRPr="007F6D8C">
              <w:rPr>
                <w:rFonts w:ascii="仿宋" w:eastAsia="仿宋" w:hAnsi="仿宋" w:cs="Times New Roman"/>
              </w:rPr>
              <w:t>以及</w:t>
            </w:r>
            <w:r w:rsidRPr="007F6D8C">
              <w:rPr>
                <w:rFonts w:ascii="仿宋" w:eastAsia="仿宋" w:hAnsi="仿宋" w:cs="Times New Roman" w:hint="eastAsia"/>
              </w:rPr>
              <w:t>（</w:t>
            </w:r>
            <w:r w:rsidRPr="007F6D8C">
              <w:rPr>
                <w:rFonts w:ascii="仿宋" w:eastAsia="仿宋" w:hAnsi="仿宋" w:cs="Times New Roman"/>
              </w:rPr>
              <w:t>4）资本投资。</w:t>
            </w:r>
          </w:p>
        </w:tc>
      </w:tr>
      <w:tr w:rsidR="00027A7E" w:rsidRPr="001F0BA3" w:rsidTr="004676EC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:rsidR="00027A7E" w:rsidRPr="001F0BA3" w:rsidRDefault="00027A7E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027A7E" w:rsidRPr="007F6D8C" w:rsidRDefault="00027A7E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</w:rPr>
            </w:pPr>
            <w:r w:rsidRPr="007F6D8C">
              <w:rPr>
                <w:rFonts w:ascii="仿宋" w:eastAsia="仿宋" w:hAnsi="仿宋" w:cs="Times New Roman"/>
              </w:rPr>
              <w:t>3、</w:t>
            </w:r>
            <w:r w:rsidRPr="007F6D8C">
              <w:rPr>
                <w:rFonts w:ascii="仿宋" w:eastAsia="仿宋" w:hAnsi="仿宋" w:cs="Times New Roman" w:hint="eastAsia"/>
              </w:rPr>
              <w:t>Pre</w:t>
            </w:r>
            <w:r w:rsidRPr="007F6D8C">
              <w:rPr>
                <w:rFonts w:ascii="仿宋" w:eastAsia="仿宋" w:hAnsi="仿宋" w:cs="Times New Roman"/>
              </w:rPr>
              <w:t>dica</w:t>
            </w:r>
          </w:p>
        </w:tc>
        <w:tc>
          <w:tcPr>
            <w:tcW w:w="5153" w:type="dxa"/>
            <w:vAlign w:val="center"/>
          </w:tcPr>
          <w:p w:rsidR="00027A7E" w:rsidRPr="007F6D8C" w:rsidRDefault="001F0BA3" w:rsidP="001F0BA3">
            <w:pPr>
              <w:rPr>
                <w:rFonts w:ascii="仿宋" w:eastAsia="仿宋" w:hAnsi="仿宋" w:cs="Times New Roman"/>
              </w:rPr>
            </w:pPr>
            <w:r w:rsidRPr="007F6D8C">
              <w:rPr>
                <w:rFonts w:ascii="仿宋" w:eastAsia="仿宋" w:hAnsi="仿宋" w:cs="Times New Roman"/>
              </w:rPr>
              <w:t>Predica</w:t>
            </w:r>
            <w:r w:rsidRPr="007F6D8C">
              <w:rPr>
                <w:rFonts w:ascii="仿宋" w:eastAsia="仿宋" w:hAnsi="仿宋" w:cs="Times New Roman" w:hint="eastAsia"/>
              </w:rPr>
              <w:t>积极参与</w:t>
            </w:r>
            <w:r w:rsidRPr="007F6D8C">
              <w:rPr>
                <w:rFonts w:ascii="仿宋" w:eastAsia="仿宋" w:hAnsi="仿宋" w:cs="Times New Roman"/>
              </w:rPr>
              <w:t>人寿保险和健康保险</w:t>
            </w:r>
            <w:r w:rsidRPr="007F6D8C">
              <w:rPr>
                <w:rFonts w:ascii="仿宋" w:eastAsia="仿宋" w:hAnsi="仿宋" w:cs="Times New Roman" w:hint="eastAsia"/>
              </w:rPr>
              <w:t>领域</w:t>
            </w:r>
            <w:r w:rsidRPr="007F6D8C">
              <w:rPr>
                <w:rFonts w:ascii="仿宋" w:eastAsia="仿宋" w:hAnsi="仿宋" w:cs="Times New Roman"/>
              </w:rPr>
              <w:t>，特别是在</w:t>
            </w:r>
            <w:r w:rsidRPr="007F6D8C">
              <w:rPr>
                <w:rFonts w:ascii="仿宋" w:eastAsia="仿宋" w:hAnsi="仿宋" w:cs="Times New Roman" w:hint="eastAsia"/>
              </w:rPr>
              <w:t>个人和公司的</w:t>
            </w:r>
            <w:r w:rsidRPr="007F6D8C">
              <w:rPr>
                <w:rFonts w:ascii="仿宋" w:eastAsia="仿宋" w:hAnsi="仿宋" w:cs="Times New Roman"/>
              </w:rPr>
              <w:t>人寿保险、储蓄和退休</w:t>
            </w:r>
            <w:r w:rsidRPr="007F6D8C">
              <w:rPr>
                <w:rFonts w:ascii="仿宋" w:eastAsia="仿宋" w:hAnsi="仿宋" w:cs="Times New Roman" w:hint="eastAsia"/>
              </w:rPr>
              <w:t>领域</w:t>
            </w:r>
            <w:r w:rsidRPr="007F6D8C">
              <w:rPr>
                <w:rFonts w:ascii="仿宋" w:eastAsia="仿宋" w:hAnsi="仿宋" w:cs="Times New Roman"/>
              </w:rPr>
              <w:t>。它还提供健康和人身保护以及财产损失保险的解决方案。</w:t>
            </w:r>
            <w:r w:rsidRPr="007F6D8C">
              <w:rPr>
                <w:rFonts w:ascii="仿宋" w:eastAsia="仿宋" w:hAnsi="仿宋" w:cs="Times New Roman" w:hint="eastAsia"/>
              </w:rPr>
              <w:t>同时，</w:t>
            </w:r>
            <w:r w:rsidRPr="007F6D8C">
              <w:rPr>
                <w:rFonts w:ascii="仿宋" w:eastAsia="仿宋" w:hAnsi="仿宋" w:cs="Times New Roman"/>
              </w:rPr>
              <w:t>Predica根据</w:t>
            </w:r>
            <w:r w:rsidRPr="007F6D8C">
              <w:rPr>
                <w:rFonts w:ascii="仿宋" w:eastAsia="仿宋" w:hAnsi="仿宋" w:cs="Times New Roman" w:hint="eastAsia"/>
              </w:rPr>
              <w:t>其企业</w:t>
            </w:r>
            <w:r w:rsidRPr="007F6D8C">
              <w:rPr>
                <w:rFonts w:ascii="仿宋" w:eastAsia="仿宋" w:hAnsi="仿宋" w:cs="Times New Roman"/>
              </w:rPr>
              <w:t>宗旨，</w:t>
            </w:r>
            <w:r w:rsidRPr="007F6D8C">
              <w:rPr>
                <w:rFonts w:ascii="仿宋" w:eastAsia="仿宋" w:hAnsi="仿宋" w:cs="Times New Roman" w:hint="eastAsia"/>
              </w:rPr>
              <w:t>就</w:t>
            </w:r>
            <w:r w:rsidRPr="007F6D8C">
              <w:rPr>
                <w:rFonts w:ascii="仿宋" w:eastAsia="仿宋" w:hAnsi="仿宋" w:cs="Times New Roman"/>
              </w:rPr>
              <w:t>主要活跃于法国的公司开展金融投资业务。</w:t>
            </w:r>
          </w:p>
        </w:tc>
      </w:tr>
      <w:tr w:rsidR="00027A7E" w:rsidRPr="001F0BA3" w:rsidTr="004676EC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:rsidR="00027A7E" w:rsidRPr="001F0BA3" w:rsidRDefault="00027A7E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027A7E" w:rsidRPr="007F6D8C" w:rsidRDefault="00027A7E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</w:rPr>
            </w:pPr>
            <w:r w:rsidRPr="007F6D8C">
              <w:rPr>
                <w:rFonts w:ascii="仿宋" w:eastAsia="仿宋" w:hAnsi="仿宋" w:cs="Times New Roman" w:hint="eastAsia"/>
              </w:rPr>
              <w:t>4、</w:t>
            </w:r>
            <w:r w:rsidRPr="007F6D8C">
              <w:rPr>
                <w:rFonts w:ascii="仿宋" w:eastAsia="仿宋" w:hAnsi="仿宋" w:cs="Times New Roman"/>
              </w:rPr>
              <w:t>Omnes</w:t>
            </w:r>
          </w:p>
        </w:tc>
        <w:tc>
          <w:tcPr>
            <w:tcW w:w="5153" w:type="dxa"/>
            <w:vAlign w:val="center"/>
          </w:tcPr>
          <w:p w:rsidR="00027A7E" w:rsidRPr="007F6D8C" w:rsidRDefault="001F0BA3" w:rsidP="001F0BA3">
            <w:pPr>
              <w:rPr>
                <w:rFonts w:ascii="仿宋" w:eastAsia="仿宋" w:hAnsi="仿宋" w:cs="Times New Roman"/>
              </w:rPr>
            </w:pPr>
            <w:r w:rsidRPr="007F6D8C">
              <w:rPr>
                <w:rFonts w:ascii="仿宋" w:eastAsia="仿宋" w:hAnsi="仿宋" w:cs="Times New Roman"/>
              </w:rPr>
              <w:t>Omne</w:t>
            </w:r>
            <w:r w:rsidRPr="007F6D8C">
              <w:rPr>
                <w:rFonts w:ascii="仿宋" w:eastAsia="仿宋" w:hAnsi="仿宋" w:cs="Times New Roman" w:hint="eastAsia"/>
              </w:rPr>
              <w:t>s</w:t>
            </w:r>
            <w:r w:rsidRPr="007F6D8C">
              <w:rPr>
                <w:rFonts w:ascii="仿宋" w:eastAsia="仿宋" w:hAnsi="仿宋" w:cs="Times New Roman"/>
              </w:rPr>
              <w:t>活跃于私募股权的各个领域，其中包括增长资本、风险资本、可再生能源、共同投资等。</w:t>
            </w:r>
          </w:p>
        </w:tc>
      </w:tr>
      <w:tr w:rsidR="00716FD7" w:rsidRPr="001F0BA3" w:rsidTr="004676EC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sym w:font="Wingdings" w:char="F0A8"/>
            </w:r>
            <w:r w:rsidRPr="001F0BA3">
              <w:rPr>
                <w:rFonts w:ascii="仿宋" w:eastAsia="仿宋" w:hAnsi="仿宋" w:cs="Times New Roman" w:hint="eastAsia"/>
                <w:bCs/>
                <w:sz w:val="24"/>
                <w:szCs w:val="24"/>
              </w:rPr>
              <w:t xml:space="preserve"> </w:t>
            </w:r>
            <w:r w:rsidRPr="001F0BA3">
              <w:rPr>
                <w:rFonts w:ascii="仿宋" w:eastAsia="仿宋" w:hAnsi="仿宋" w:cs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716FD7" w:rsidRPr="001F0BA3" w:rsidTr="004676EC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sym w:font="Wingdings" w:char="F0A8"/>
            </w:r>
            <w:r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t xml:space="preserve"> </w:t>
            </w:r>
            <w:r w:rsidRPr="001F0BA3">
              <w:rPr>
                <w:rFonts w:ascii="仿宋" w:eastAsia="仿宋" w:hAnsi="仿宋" w:cs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716FD7" w:rsidRPr="001F0BA3" w:rsidTr="004676EC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716FD7" w:rsidRPr="001F0BA3" w:rsidRDefault="00027A7E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sym w:font="Wingdings" w:char="F0A8"/>
            </w:r>
            <w:r w:rsidR="00716FD7"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t xml:space="preserve"> </w:t>
            </w:r>
            <w:r w:rsidR="00716FD7" w:rsidRPr="001F0BA3">
              <w:rPr>
                <w:rFonts w:ascii="仿宋" w:eastAsia="仿宋" w:hAnsi="仿宋" w:cs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716FD7" w:rsidRPr="001F0BA3" w:rsidTr="004676EC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sym w:font="Wingdings" w:char="F0A8"/>
            </w:r>
            <w:r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t xml:space="preserve"> </w:t>
            </w:r>
            <w:r w:rsidRPr="001F0BA3">
              <w:rPr>
                <w:rFonts w:ascii="仿宋" w:eastAsia="仿宋" w:hAnsi="仿宋" w:cs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716FD7" w:rsidRPr="001F0BA3" w:rsidTr="004676EC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716FD7" w:rsidRPr="001F0BA3" w:rsidRDefault="00027A7E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sym w:font="Wingdings" w:char="F0FE"/>
            </w:r>
            <w:r w:rsidR="00716FD7"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t xml:space="preserve"> </w:t>
            </w:r>
            <w:r w:rsidR="00716FD7" w:rsidRPr="001F0BA3">
              <w:rPr>
                <w:rFonts w:ascii="仿宋" w:eastAsia="仿宋" w:hAnsi="仿宋" w:cs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716FD7" w:rsidRPr="001F0BA3" w:rsidTr="004676EC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sym w:font="Wingdings" w:char="F0A8"/>
            </w:r>
            <w:r w:rsidRPr="001F0BA3">
              <w:rPr>
                <w:rFonts w:ascii="仿宋" w:eastAsia="仿宋" w:hAnsi="仿宋" w:cs="Times New Roman"/>
                <w:bCs/>
                <w:sz w:val="24"/>
                <w:szCs w:val="24"/>
              </w:rPr>
              <w:t xml:space="preserve"> </w:t>
            </w:r>
            <w:r w:rsidRPr="001F0BA3">
              <w:rPr>
                <w:rFonts w:ascii="仿宋" w:eastAsia="仿宋" w:hAnsi="仿宋" w:cs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716FD7" w:rsidRPr="001F0BA3" w:rsidTr="004676EC">
        <w:trPr>
          <w:trHeight w:val="1104"/>
        </w:trPr>
        <w:tc>
          <w:tcPr>
            <w:tcW w:w="1809" w:type="dxa"/>
            <w:shd w:val="clear" w:color="auto" w:fill="D9D9D9"/>
            <w:vAlign w:val="center"/>
          </w:tcPr>
          <w:p w:rsidR="00716FD7" w:rsidRPr="001F0BA3" w:rsidRDefault="00716FD7" w:rsidP="004676EC">
            <w:pPr>
              <w:spacing w:after="0" w:line="300" w:lineRule="auto"/>
              <w:jc w:val="both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r w:rsidRPr="001F0BA3">
              <w:rPr>
                <w:rFonts w:ascii="仿宋" w:eastAsia="仿宋" w:hAnsi="仿宋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716FD7" w:rsidRPr="001F0BA3" w:rsidRDefault="001F0BA3" w:rsidP="001F0BA3">
            <w:pPr>
              <w:spacing w:after="0" w:line="300" w:lineRule="auto"/>
              <w:jc w:val="both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不适用</w:t>
            </w:r>
          </w:p>
        </w:tc>
      </w:tr>
    </w:tbl>
    <w:p w:rsidR="00716FD7" w:rsidRPr="001F0BA3" w:rsidRDefault="00716FD7" w:rsidP="00716FD7">
      <w:pPr>
        <w:spacing w:after="0" w:line="240" w:lineRule="auto"/>
        <w:rPr>
          <w:rFonts w:ascii="仿宋" w:eastAsia="仿宋" w:hAnsi="仿宋" w:cs="Times New Roman"/>
          <w:sz w:val="24"/>
          <w:szCs w:val="24"/>
        </w:rPr>
      </w:pPr>
    </w:p>
    <w:p w:rsidR="00716FD7" w:rsidRPr="001F0BA3" w:rsidRDefault="00716FD7" w:rsidP="00716FD7">
      <w:pPr>
        <w:spacing w:after="0" w:line="240" w:lineRule="auto"/>
        <w:rPr>
          <w:rFonts w:ascii="仿宋" w:eastAsia="仿宋" w:hAnsi="仿宋" w:cs="Times New Roman"/>
          <w:sz w:val="24"/>
          <w:szCs w:val="24"/>
        </w:rPr>
      </w:pPr>
    </w:p>
    <w:p w:rsidR="00203896" w:rsidRPr="001F0BA3" w:rsidRDefault="00203896">
      <w:pPr>
        <w:rPr>
          <w:rFonts w:ascii="仿宋" w:eastAsia="仿宋" w:hAnsi="仿宋"/>
        </w:rPr>
      </w:pPr>
    </w:p>
    <w:sectPr w:rsidR="00203896" w:rsidRPr="001F0BA3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7AA" w:rsidRDefault="006667AA" w:rsidP="00027A7E">
      <w:pPr>
        <w:spacing w:after="0" w:line="240" w:lineRule="auto"/>
      </w:pPr>
      <w:r>
        <w:separator/>
      </w:r>
    </w:p>
  </w:endnote>
  <w:endnote w:type="continuationSeparator" w:id="0">
    <w:p w:rsidR="006667AA" w:rsidRDefault="006667AA" w:rsidP="00027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7AA" w:rsidRDefault="006667AA" w:rsidP="00027A7E">
      <w:pPr>
        <w:spacing w:after="0" w:line="240" w:lineRule="auto"/>
      </w:pPr>
      <w:r>
        <w:separator/>
      </w:r>
    </w:p>
  </w:footnote>
  <w:footnote w:type="continuationSeparator" w:id="0">
    <w:p w:rsidR="006667AA" w:rsidRDefault="006667AA" w:rsidP="00027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D7"/>
    <w:rsid w:val="00027A7E"/>
    <w:rsid w:val="001F0BA3"/>
    <w:rsid w:val="00203896"/>
    <w:rsid w:val="006667AA"/>
    <w:rsid w:val="00716FD7"/>
    <w:rsid w:val="007F6D8C"/>
    <w:rsid w:val="008B47DE"/>
    <w:rsid w:val="008F2B04"/>
    <w:rsid w:val="00A647D3"/>
    <w:rsid w:val="00CB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953D8D"/>
  <w15:chartTrackingRefBased/>
  <w15:docId w15:val="{1BAC59A9-F32F-4AEF-B06A-9D4CC802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6FD7"/>
    <w:pPr>
      <w:spacing w:after="200" w:line="276" w:lineRule="auto"/>
    </w:pPr>
    <w:rPr>
      <w:kern w:val="0"/>
      <w:sz w:val="22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6FD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27A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A7E"/>
    <w:rPr>
      <w:kern w:val="0"/>
      <w:sz w:val="18"/>
      <w:szCs w:val="18"/>
      <w:lang w:bidi="he-IL"/>
    </w:rPr>
  </w:style>
  <w:style w:type="paragraph" w:styleId="a6">
    <w:name w:val="footer"/>
    <w:basedOn w:val="a"/>
    <w:link w:val="a7"/>
    <w:uiPriority w:val="99"/>
    <w:unhideWhenUsed/>
    <w:rsid w:val="00027A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A7E"/>
    <w:rPr>
      <w:kern w:val="0"/>
      <w:sz w:val="18"/>
      <w:szCs w:val="18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144</Words>
  <Characters>821</Characters>
  <Application>Microsoft Office Word</Application>
  <DocSecurity>0</DocSecurity>
  <Lines>6</Lines>
  <Paragraphs>1</Paragraphs>
  <ScaleCrop>false</ScaleCrop>
  <Company>KWM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&amp; Wood Mallesons</dc:creator>
  <cp:keywords/>
  <dc:description/>
  <cp:lastModifiedBy>King &amp; Wood Mallesons</cp:lastModifiedBy>
  <cp:revision>4</cp:revision>
  <dcterms:created xsi:type="dcterms:W3CDTF">2019-10-11T09:14:00Z</dcterms:created>
  <dcterms:modified xsi:type="dcterms:W3CDTF">2019-10-18T03:03:00Z</dcterms:modified>
</cp:coreProperties>
</file>