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B60745" w:rsidRDefault="00CB00DF" w:rsidP="00CB00DF">
      <w:pPr>
        <w:snapToGrid w:val="0"/>
        <w:spacing w:before="100" w:beforeAutospacing="1" w:after="100" w:afterAutospacing="1"/>
        <w:jc w:val="left"/>
        <w:rPr>
          <w:rFonts w:ascii="仿宋" w:eastAsia="仿宋" w:hAnsi="仿宋"/>
          <w:b/>
          <w:color w:val="000000" w:themeColor="text1"/>
          <w:szCs w:val="21"/>
        </w:rPr>
      </w:pPr>
    </w:p>
    <w:p w:rsidR="00CB00DF" w:rsidRPr="00B60745" w:rsidRDefault="00CB00DF" w:rsidP="002F7876">
      <w:pPr>
        <w:spacing w:line="440" w:lineRule="exact"/>
        <w:jc w:val="center"/>
        <w:rPr>
          <w:rFonts w:ascii="仿宋" w:eastAsia="仿宋" w:hAnsi="仿宋"/>
          <w:b/>
          <w:color w:val="000000" w:themeColor="text1"/>
          <w:sz w:val="28"/>
          <w:szCs w:val="28"/>
        </w:rPr>
      </w:pPr>
      <w:r w:rsidRPr="00B60745">
        <w:rPr>
          <w:rFonts w:ascii="仿宋" w:eastAsia="仿宋" w:hAnsi="仿宋" w:hint="eastAsia"/>
          <w:b/>
          <w:color w:val="000000" w:themeColor="text1"/>
          <w:sz w:val="28"/>
          <w:szCs w:val="28"/>
        </w:rPr>
        <w:t>经营者集中简易案件公示表</w:t>
      </w:r>
    </w:p>
    <w:p w:rsidR="00CB00DF" w:rsidRPr="00B60745" w:rsidRDefault="00CB00DF" w:rsidP="00CB00DF">
      <w:pPr>
        <w:spacing w:line="440" w:lineRule="exact"/>
        <w:ind w:firstLineChars="302" w:firstLine="634"/>
        <w:rPr>
          <w:rFonts w:ascii="仿宋" w:eastAsia="仿宋" w:hAnsi="仿宋"/>
          <w:color w:val="000000" w:themeColor="text1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2"/>
        <w:gridCol w:w="2759"/>
        <w:gridCol w:w="4227"/>
      </w:tblGrid>
      <w:tr w:rsidR="00B60745" w:rsidRPr="00B60745" w:rsidTr="00B24144">
        <w:tc>
          <w:tcPr>
            <w:tcW w:w="1772" w:type="dxa"/>
            <w:shd w:val="clear" w:color="auto" w:fill="D9D9D9"/>
            <w:vAlign w:val="center"/>
          </w:tcPr>
          <w:p w:rsidR="00572356" w:rsidRPr="00B60745" w:rsidRDefault="00572356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案件名称</w:t>
            </w:r>
          </w:p>
        </w:tc>
        <w:tc>
          <w:tcPr>
            <w:tcW w:w="6986" w:type="dxa"/>
            <w:gridSpan w:val="2"/>
            <w:vAlign w:val="center"/>
          </w:tcPr>
          <w:p w:rsidR="00572356" w:rsidRP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bookmarkStart w:id="0" w:name="_GoBack"/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法国投资信托局</w:t>
            </w:r>
            <w:r w:rsidR="00492F9E"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收购 </w:t>
            </w:r>
            <w:r w:rsidR="00492F9E"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JMB Solar Nogara </w:t>
            </w:r>
            <w:r w:rsidR="00492F9E"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等2</w:t>
            </w:r>
            <w:r w:rsidR="00492F9E"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家公司股权案</w:t>
            </w:r>
            <w:bookmarkEnd w:id="0"/>
          </w:p>
        </w:tc>
      </w:tr>
      <w:tr w:rsidR="00B60745" w:rsidRPr="00B60745" w:rsidTr="00B24144">
        <w:trPr>
          <w:trHeight w:val="993"/>
        </w:trPr>
        <w:tc>
          <w:tcPr>
            <w:tcW w:w="1772" w:type="dxa"/>
            <w:shd w:val="clear" w:color="auto" w:fill="D9D9D9"/>
            <w:vAlign w:val="center"/>
          </w:tcPr>
          <w:p w:rsidR="00572356" w:rsidRPr="00B60745" w:rsidRDefault="00572356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交易概况</w:t>
            </w:r>
          </w:p>
          <w:p w:rsidR="00572356" w:rsidRPr="00B60745" w:rsidRDefault="00572356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（限200字内）</w:t>
            </w:r>
          </w:p>
        </w:tc>
        <w:tc>
          <w:tcPr>
            <w:tcW w:w="6986" w:type="dxa"/>
            <w:gridSpan w:val="2"/>
          </w:tcPr>
          <w:p w:rsidR="00572356" w:rsidRPr="00B60745" w:rsidRDefault="00B60745" w:rsidP="00B60745">
            <w:pPr>
              <w:widowControl/>
              <w:snapToGrid w:val="0"/>
              <w:spacing w:line="360" w:lineRule="auto"/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本次交易是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法国投资信托局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拟从法国道达尔公司的全资子公司Total Quadran那里收购JMB Solar Nogara和Quadran Nogara（合称“</w:t>
            </w: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目标公司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”）50%的股份。目标公司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在法国运营光伏发电厂和风电场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B60745" w:rsidRPr="00B60745" w:rsidTr="00B24144">
        <w:trPr>
          <w:trHeight w:val="468"/>
        </w:trPr>
        <w:tc>
          <w:tcPr>
            <w:tcW w:w="1772" w:type="dxa"/>
            <w:vMerge w:val="restart"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参与集中的</w:t>
            </w:r>
          </w:p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经营者简介</w:t>
            </w:r>
          </w:p>
        </w:tc>
        <w:tc>
          <w:tcPr>
            <w:tcW w:w="2759" w:type="dxa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1、</w:t>
            </w:r>
            <w:r w:rsid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道达尔</w:t>
            </w: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公司</w:t>
            </w:r>
          </w:p>
        </w:tc>
        <w:tc>
          <w:tcPr>
            <w:tcW w:w="4227" w:type="dxa"/>
          </w:tcPr>
          <w:p w:rsidR="00492F9E" w:rsidRPr="00B60745" w:rsidRDefault="00B60745" w:rsidP="00B60745">
            <w:pPr>
              <w:spacing w:line="360" w:lineRule="auto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道达尔</w:t>
            </w: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公司</w:t>
            </w:r>
            <w:r w:rsidRPr="003138C5">
              <w:rPr>
                <w:rFonts w:ascii="仿宋" w:eastAsia="仿宋" w:hAnsi="仿宋"/>
                <w:szCs w:val="21"/>
              </w:rPr>
              <w:t>及其子公司是一家国际综合能源生产商</w:t>
            </w:r>
            <w:r>
              <w:rPr>
                <w:rFonts w:ascii="仿宋" w:eastAsia="仿宋" w:hAnsi="仿宋" w:hint="eastAsia"/>
                <w:szCs w:val="21"/>
              </w:rPr>
              <w:t>。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道达尔</w:t>
            </w: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公司</w:t>
            </w:r>
            <w:r w:rsidRPr="003138C5">
              <w:rPr>
                <w:rFonts w:ascii="仿宋" w:eastAsia="仿宋" w:hAnsi="仿宋"/>
                <w:szCs w:val="21"/>
              </w:rPr>
              <w:t>在130多个国家开展业务，涉及石油和天然气</w:t>
            </w:r>
            <w:r>
              <w:rPr>
                <w:rFonts w:ascii="仿宋" w:eastAsia="仿宋" w:hAnsi="仿宋"/>
                <w:szCs w:val="21"/>
              </w:rPr>
              <w:t>行业的各个部门，包括上游（油气勘探、开发和生产）和下游（炼油、</w:t>
            </w:r>
            <w:r>
              <w:rPr>
                <w:rFonts w:ascii="仿宋" w:eastAsia="仿宋" w:hAnsi="仿宋" w:hint="eastAsia"/>
                <w:szCs w:val="21"/>
              </w:rPr>
              <w:t>石油</w:t>
            </w:r>
            <w:r w:rsidRPr="003138C5">
              <w:rPr>
                <w:rFonts w:ascii="仿宋" w:eastAsia="仿宋" w:hAnsi="仿宋"/>
                <w:szCs w:val="21"/>
              </w:rPr>
              <w:t>化</w:t>
            </w:r>
            <w:r>
              <w:rPr>
                <w:rFonts w:ascii="仿宋" w:eastAsia="仿宋" w:hAnsi="仿宋" w:hint="eastAsia"/>
                <w:szCs w:val="21"/>
              </w:rPr>
              <w:t>学</w:t>
            </w:r>
            <w:r w:rsidRPr="003138C5">
              <w:rPr>
                <w:rFonts w:ascii="仿宋" w:eastAsia="仿宋" w:hAnsi="仿宋"/>
                <w:szCs w:val="21"/>
              </w:rPr>
              <w:t>、特种化学品、原油和石油产品的贸易和运输以及营销）。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道达尔</w:t>
            </w: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公司</w:t>
            </w:r>
            <w:r w:rsidRPr="003138C5">
              <w:rPr>
                <w:rFonts w:ascii="仿宋" w:eastAsia="仿宋" w:hAnsi="仿宋"/>
                <w:szCs w:val="21"/>
              </w:rPr>
              <w:t>还涉足可再生能源和发电行业</w:t>
            </w:r>
            <w:r w:rsidRPr="003138C5">
              <w:rPr>
                <w:rFonts w:ascii="仿宋" w:eastAsia="仿宋" w:hAnsi="仿宋" w:hint="eastAsia"/>
                <w:szCs w:val="21"/>
              </w:rPr>
              <w:t>。</w:t>
            </w:r>
          </w:p>
        </w:tc>
      </w:tr>
      <w:tr w:rsidR="00B60745" w:rsidRPr="00B60745" w:rsidTr="00B24144">
        <w:trPr>
          <w:trHeight w:val="404"/>
        </w:trPr>
        <w:tc>
          <w:tcPr>
            <w:tcW w:w="1772" w:type="dxa"/>
            <w:vMerge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2759" w:type="dxa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2. </w:t>
            </w:r>
            <w:r w:rsidR="00B60745">
              <w:rPr>
                <w:rFonts w:ascii="仿宋" w:eastAsia="仿宋" w:hAnsi="仿宋" w:hint="eastAsia"/>
                <w:color w:val="000000" w:themeColor="text1"/>
                <w:szCs w:val="21"/>
              </w:rPr>
              <w:t>法国投资信托局</w:t>
            </w:r>
          </w:p>
        </w:tc>
        <w:tc>
          <w:tcPr>
            <w:tcW w:w="4227" w:type="dxa"/>
          </w:tcPr>
          <w:p w:rsidR="00492F9E" w:rsidRP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hint="eastAsia"/>
                <w:color w:val="000000" w:themeColor="text1"/>
                <w:szCs w:val="21"/>
              </w:rPr>
              <w:t>法国投资信托局</w:t>
            </w:r>
            <w:r w:rsidR="00492F9E"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在中国的业务包括以下方面</w:t>
            </w:r>
            <w:r w:rsidR="00492F9E"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： </w:t>
            </w:r>
          </w:p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-设计、运营山地度假村、休闲公园、室内娱乐项目管理；</w:t>
            </w:r>
          </w:p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-为航空、建筑、城市交通等各行业提供基础设施工程服务； </w:t>
            </w:r>
          </w:p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-设计、开发和制造广泛应用于微电子领域的半导体集成电路和分立器件；</w:t>
            </w:r>
          </w:p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-向大公司、银行和投资基金提供市场信息和分析；</w:t>
            </w:r>
          </w:p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-</w:t>
            </w:r>
            <w:r w:rsidR="00F34D0A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电力线路运行安全设备的制造</w:t>
            </w: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；</w:t>
            </w:r>
          </w:p>
          <w:p w:rsidR="00492F9E" w:rsidRPr="00F34D0A" w:rsidRDefault="00492F9E" w:rsidP="00B60745">
            <w:pPr>
              <w:spacing w:line="360" w:lineRule="auto"/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-为各行业设计、制造、加工和装配高精度零件和组件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。</w:t>
            </w:r>
          </w:p>
        </w:tc>
      </w:tr>
      <w:tr w:rsidR="00B60745" w:rsidRPr="00B60745" w:rsidTr="00B24144">
        <w:trPr>
          <w:trHeight w:val="279"/>
        </w:trPr>
        <w:tc>
          <w:tcPr>
            <w:tcW w:w="1772" w:type="dxa"/>
            <w:vMerge w:val="restart"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简易案件理由（可以单选，也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lastRenderedPageBreak/>
              <w:t>可以多选）</w:t>
            </w:r>
          </w:p>
        </w:tc>
        <w:tc>
          <w:tcPr>
            <w:tcW w:w="6986" w:type="dxa"/>
            <w:gridSpan w:val="2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lastRenderedPageBreak/>
              <w:t>□1.在同一相关市场，所有参与集中的经营者所占市场份额之和小于15%。</w:t>
            </w:r>
          </w:p>
        </w:tc>
      </w:tr>
      <w:tr w:rsidR="00B60745" w:rsidRPr="00B60745" w:rsidTr="00B24144">
        <w:trPr>
          <w:trHeight w:val="330"/>
        </w:trPr>
        <w:tc>
          <w:tcPr>
            <w:tcW w:w="1772" w:type="dxa"/>
            <w:vMerge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86" w:type="dxa"/>
            <w:gridSpan w:val="2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□2.存在上下游关系的参与集中的经营者，在上下游市场所占的市场份额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lastRenderedPageBreak/>
              <w:t>均小于25%。</w:t>
            </w:r>
          </w:p>
        </w:tc>
      </w:tr>
      <w:tr w:rsidR="00B60745" w:rsidRPr="00B60745" w:rsidTr="00B24144">
        <w:trPr>
          <w:trHeight w:val="285"/>
        </w:trPr>
        <w:tc>
          <w:tcPr>
            <w:tcW w:w="1772" w:type="dxa"/>
            <w:vMerge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86" w:type="dxa"/>
            <w:gridSpan w:val="2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B60745" w:rsidRPr="00B60745" w:rsidTr="00B24144">
        <w:trPr>
          <w:trHeight w:val="870"/>
        </w:trPr>
        <w:tc>
          <w:tcPr>
            <w:tcW w:w="1772" w:type="dxa"/>
            <w:vMerge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86" w:type="dxa"/>
            <w:gridSpan w:val="2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B60745" w:rsidRPr="00B60745" w:rsidTr="00B24144">
        <w:trPr>
          <w:trHeight w:val="264"/>
        </w:trPr>
        <w:tc>
          <w:tcPr>
            <w:tcW w:w="1772" w:type="dxa"/>
            <w:vMerge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86" w:type="dxa"/>
            <w:gridSpan w:val="2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MS Mincho"/>
                <w:color w:val="000000" w:themeColor="text1"/>
                <w:szCs w:val="21"/>
              </w:rPr>
              <w:fldChar w:fldCharType="begin"/>
            </w:r>
            <w:r w:rsidRPr="00B60745">
              <w:rPr>
                <w:rFonts w:ascii="仿宋" w:eastAsia="仿宋" w:hAnsi="仿宋" w:cs="MS Mincho"/>
                <w:color w:val="000000" w:themeColor="text1"/>
                <w:szCs w:val="21"/>
              </w:rPr>
              <w:instrText xml:space="preserve"> </w:instrText>
            </w:r>
            <w:r w:rsidRPr="00B60745">
              <w:rPr>
                <w:rFonts w:ascii="仿宋" w:eastAsia="仿宋" w:hAnsi="仿宋" w:cs="MS Mincho" w:hint="eastAsia"/>
                <w:color w:val="000000" w:themeColor="text1"/>
                <w:szCs w:val="21"/>
              </w:rPr>
              <w:instrText>eq \o\ac(□,</w:instrText>
            </w:r>
            <w:r w:rsidRPr="00B60745">
              <w:rPr>
                <w:rFonts w:ascii="仿宋" w:eastAsia="仿宋" w:hAnsi="仿宋" w:cs="MS Mincho" w:hint="eastAsia"/>
                <w:color w:val="000000" w:themeColor="text1"/>
                <w:position w:val="2"/>
                <w:szCs w:val="21"/>
              </w:rPr>
              <w:instrText>√</w:instrText>
            </w:r>
            <w:r w:rsidRPr="00B60745">
              <w:rPr>
                <w:rFonts w:ascii="仿宋" w:eastAsia="仿宋" w:hAnsi="仿宋" w:cs="MS Mincho" w:hint="eastAsia"/>
                <w:color w:val="000000" w:themeColor="text1"/>
                <w:szCs w:val="21"/>
              </w:rPr>
              <w:instrText>)</w:instrText>
            </w:r>
            <w:r w:rsidRPr="00B60745">
              <w:rPr>
                <w:rFonts w:ascii="仿宋" w:eastAsia="仿宋" w:hAnsi="仿宋" w:cs="MS Mincho"/>
                <w:color w:val="000000" w:themeColor="text1"/>
                <w:szCs w:val="21"/>
              </w:rPr>
              <w:fldChar w:fldCharType="end"/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B60745" w:rsidRPr="00B60745" w:rsidTr="00B24144">
        <w:trPr>
          <w:trHeight w:val="345"/>
        </w:trPr>
        <w:tc>
          <w:tcPr>
            <w:tcW w:w="1772" w:type="dxa"/>
            <w:vMerge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  <w:tc>
          <w:tcPr>
            <w:tcW w:w="6986" w:type="dxa"/>
            <w:gridSpan w:val="2"/>
          </w:tcPr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B60745" w:rsidRPr="00B60745" w:rsidTr="00B24144">
        <w:tc>
          <w:tcPr>
            <w:tcW w:w="1772" w:type="dxa"/>
            <w:shd w:val="clear" w:color="auto" w:fill="D9D9D9"/>
            <w:vAlign w:val="center"/>
          </w:tcPr>
          <w:p w:rsidR="00492F9E" w:rsidRPr="00B60745" w:rsidRDefault="00492F9E" w:rsidP="00B60745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备注</w:t>
            </w:r>
          </w:p>
        </w:tc>
        <w:tc>
          <w:tcPr>
            <w:tcW w:w="6986" w:type="dxa"/>
            <w:gridSpan w:val="2"/>
          </w:tcPr>
          <w:p w:rsidR="00492F9E" w:rsidRP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相关商品市场</w:t>
            </w: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60745">
              <w:rPr>
                <w:rFonts w:ascii="仿宋" w:eastAsia="仿宋" w:hAnsi="仿宋" w:cs="宋体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1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：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电力生产和批发市场</w:t>
            </w:r>
          </w:p>
          <w:p w:rsidR="00B60745" w:rsidRP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相关地域</w:t>
            </w: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市场</w:t>
            </w: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 </w:t>
            </w:r>
            <w:r w:rsidRPr="00B60745">
              <w:rPr>
                <w:rFonts w:ascii="仿宋" w:eastAsia="仿宋" w:hAnsi="仿宋" w:cs="宋体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1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：国别（法国）</w:t>
            </w:r>
          </w:p>
          <w:p w:rsid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法国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道达尔</w:t>
            </w:r>
            <w:r w:rsidRPr="00B60745"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  <w:t>公司</w:t>
            </w:r>
          </w:p>
          <w:p w:rsidR="00B60745" w:rsidRDefault="00B60745" w:rsidP="00B60745">
            <w:pPr>
              <w:spacing w:line="360" w:lineRule="auto"/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hint="eastAsia"/>
                <w:color w:val="000000" w:themeColor="text1"/>
                <w:szCs w:val="21"/>
              </w:rPr>
              <w:t>法国投资信托局</w:t>
            </w:r>
          </w:p>
          <w:p w:rsidR="00B60745" w:rsidRPr="00B60745" w:rsidRDefault="00B60745" w:rsidP="00B60745">
            <w:pPr>
              <w:spacing w:line="360" w:lineRule="auto"/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  <w:p w:rsidR="00B60745" w:rsidRP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相关商品市场 </w:t>
            </w:r>
            <w:r w:rsidRPr="00B60745">
              <w:rPr>
                <w:rFonts w:ascii="仿宋" w:eastAsia="仿宋" w:hAnsi="仿宋" w:cs="宋体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2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：电力传输</w:t>
            </w:r>
          </w:p>
          <w:p w:rsidR="00B60745" w:rsidRPr="00B60745" w:rsidRDefault="00B60745" w:rsidP="00B60745">
            <w:pPr>
              <w:spacing w:line="360" w:lineRule="auto"/>
              <w:rPr>
                <w:rFonts w:ascii="仿宋" w:eastAsia="仿宋" w:hAnsi="仿宋" w:cs="宋体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 w:rsidRPr="00B60745">
              <w:rPr>
                <w:rFonts w:ascii="仿宋" w:eastAsia="仿宋" w:hAnsi="仿宋" w:cs="宋体" w:hint="eastAsia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 xml:space="preserve">相关地域市场 </w:t>
            </w:r>
            <w:r w:rsidRPr="00B60745">
              <w:rPr>
                <w:rFonts w:ascii="仿宋" w:eastAsia="仿宋" w:hAnsi="仿宋" w:cs="宋体"/>
                <w:b/>
                <w:color w:val="000000" w:themeColor="text1"/>
                <w:kern w:val="0"/>
                <w:szCs w:val="21"/>
                <w:bdr w:val="none" w:sz="0" w:space="0" w:color="auto" w:frame="1"/>
              </w:rPr>
              <w:t>2</w:t>
            </w:r>
            <w:r w:rsidRPr="00B60745"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：国别（法国）</w:t>
            </w:r>
          </w:p>
          <w:p w:rsidR="00B60745" w:rsidRDefault="00B60745" w:rsidP="00B60745">
            <w:pPr>
              <w:spacing w:line="360" w:lineRule="auto"/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  <w:t>-</w:t>
            </w:r>
            <w:r>
              <w:rPr>
                <w:rFonts w:ascii="仿宋" w:eastAsia="仿宋" w:hAnsi="仿宋" w:hint="eastAsia"/>
                <w:color w:val="000000" w:themeColor="text1"/>
                <w:szCs w:val="21"/>
              </w:rPr>
              <w:t>法国投资信托局</w:t>
            </w:r>
          </w:p>
          <w:p w:rsidR="00492F9E" w:rsidRPr="00B60745" w:rsidRDefault="00492F9E" w:rsidP="00B60745">
            <w:pPr>
              <w:spacing w:line="360" w:lineRule="auto"/>
              <w:rPr>
                <w:rFonts w:ascii="仿宋" w:eastAsia="仿宋" w:hAnsi="仿宋" w:cs="宋体" w:hint="eastAsia"/>
                <w:color w:val="000000" w:themeColor="text1"/>
                <w:kern w:val="0"/>
                <w:szCs w:val="21"/>
                <w:bdr w:val="none" w:sz="0" w:space="0" w:color="auto" w:frame="1"/>
              </w:rPr>
            </w:pPr>
          </w:p>
        </w:tc>
      </w:tr>
    </w:tbl>
    <w:p w:rsidR="00CB00DF" w:rsidRPr="00B60745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color w:val="000000" w:themeColor="text1"/>
          <w:szCs w:val="21"/>
        </w:rPr>
      </w:pPr>
    </w:p>
    <w:p w:rsidR="00CB00DF" w:rsidRPr="00B60745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color w:val="000000" w:themeColor="text1"/>
          <w:szCs w:val="21"/>
        </w:rPr>
      </w:pPr>
      <w:r w:rsidRPr="00B60745">
        <w:rPr>
          <w:rFonts w:ascii="仿宋" w:eastAsia="仿宋" w:hAnsi="仿宋" w:hint="eastAsia"/>
          <w:color w:val="000000" w:themeColor="text1"/>
          <w:szCs w:val="21"/>
        </w:rPr>
        <w:t>注解：</w:t>
      </w:r>
    </w:p>
    <w:p w:rsidR="00CB00DF" w:rsidRPr="00B60745" w:rsidRDefault="00CB00DF" w:rsidP="00CB00DF">
      <w:pPr>
        <w:snapToGrid w:val="0"/>
        <w:spacing w:line="360" w:lineRule="auto"/>
        <w:ind w:firstLineChars="200" w:firstLine="420"/>
        <w:jc w:val="left"/>
        <w:rPr>
          <w:rFonts w:ascii="仿宋" w:eastAsia="仿宋" w:hAnsi="仿宋"/>
          <w:color w:val="000000" w:themeColor="text1"/>
          <w:szCs w:val="21"/>
        </w:rPr>
      </w:pPr>
      <w:r w:rsidRPr="00B60745">
        <w:rPr>
          <w:rFonts w:ascii="仿宋" w:eastAsia="仿宋" w:hAnsi="仿宋" w:hint="eastAsia"/>
          <w:color w:val="000000" w:themeColor="text1"/>
          <w:szCs w:val="21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CB00DF" w:rsidRPr="00B60745" w:rsidRDefault="00CB00DF" w:rsidP="00CB00DF">
      <w:pPr>
        <w:spacing w:line="360" w:lineRule="auto"/>
        <w:ind w:firstLineChars="200" w:firstLine="420"/>
        <w:rPr>
          <w:rFonts w:ascii="仿宋" w:eastAsia="仿宋" w:hAnsi="仿宋"/>
          <w:color w:val="000000" w:themeColor="text1"/>
          <w:szCs w:val="21"/>
        </w:rPr>
      </w:pPr>
      <w:r w:rsidRPr="00B60745">
        <w:rPr>
          <w:rFonts w:ascii="仿宋" w:eastAsia="仿宋" w:hAnsi="仿宋" w:hint="eastAsia"/>
          <w:color w:val="000000" w:themeColor="text1"/>
          <w:szCs w:val="21"/>
        </w:rPr>
        <w:t>2.申报方申请简易案件的理由是基于第4项、第5项时，无须在备注中说明相关市场和市场份额。</w:t>
      </w:r>
      <w:r w:rsidRPr="00B60745">
        <w:rPr>
          <w:rFonts w:ascii="仿宋" w:eastAsia="仿宋" w:hAnsi="仿宋" w:hint="eastAsia"/>
          <w:color w:val="000000" w:themeColor="text1"/>
          <w:szCs w:val="21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Pr="00B60745" w:rsidRDefault="00CB00DF" w:rsidP="00CB00DF">
      <w:pPr>
        <w:rPr>
          <w:rFonts w:ascii="仿宋" w:eastAsia="仿宋" w:hAnsi="仿宋"/>
          <w:color w:val="000000" w:themeColor="text1"/>
          <w:szCs w:val="21"/>
        </w:rPr>
      </w:pPr>
    </w:p>
    <w:sectPr w:rsidR="00CB00DF" w:rsidRPr="00B6074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5C1" w:rsidRDefault="006045C1" w:rsidP="00572356">
      <w:r>
        <w:separator/>
      </w:r>
    </w:p>
  </w:endnote>
  <w:endnote w:type="continuationSeparator" w:id="0">
    <w:p w:rsidR="006045C1" w:rsidRDefault="006045C1" w:rsidP="00572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5C1" w:rsidRDefault="006045C1" w:rsidP="00572356">
      <w:r>
        <w:separator/>
      </w:r>
    </w:p>
  </w:footnote>
  <w:footnote w:type="continuationSeparator" w:id="0">
    <w:p w:rsidR="006045C1" w:rsidRDefault="006045C1" w:rsidP="005723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B6AB9"/>
    <w:multiLevelType w:val="hybridMultilevel"/>
    <w:tmpl w:val="36E44C52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7B43D9F"/>
    <w:multiLevelType w:val="hybridMultilevel"/>
    <w:tmpl w:val="3CEC81F8"/>
    <w:lvl w:ilvl="0" w:tplc="7AA6A2B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DF51A6"/>
    <w:multiLevelType w:val="hybridMultilevel"/>
    <w:tmpl w:val="4496971C"/>
    <w:lvl w:ilvl="0" w:tplc="C4A464D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321511"/>
    <w:multiLevelType w:val="hybridMultilevel"/>
    <w:tmpl w:val="C54EB5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8C14E60"/>
    <w:multiLevelType w:val="hybridMultilevel"/>
    <w:tmpl w:val="83164276"/>
    <w:lvl w:ilvl="0" w:tplc="42029A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1210B4"/>
    <w:multiLevelType w:val="hybridMultilevel"/>
    <w:tmpl w:val="07A8146A"/>
    <w:lvl w:ilvl="0" w:tplc="59185B3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93E02DB"/>
    <w:multiLevelType w:val="hybridMultilevel"/>
    <w:tmpl w:val="301613EE"/>
    <w:lvl w:ilvl="0" w:tplc="B07AD6F6">
      <w:start w:val="1"/>
      <w:numFmt w:val="bullet"/>
      <w:lvlText w:val="-"/>
      <w:lvlJc w:val="left"/>
      <w:pPr>
        <w:ind w:left="360" w:hanging="36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2041"/>
    <w:rsid w:val="00037065"/>
    <w:rsid w:val="00060E0A"/>
    <w:rsid w:val="00075FB7"/>
    <w:rsid w:val="000C0034"/>
    <w:rsid w:val="000C289D"/>
    <w:rsid w:val="000D7EBA"/>
    <w:rsid w:val="00114FDF"/>
    <w:rsid w:val="001164CD"/>
    <w:rsid w:val="00137E26"/>
    <w:rsid w:val="00155717"/>
    <w:rsid w:val="001837A3"/>
    <w:rsid w:val="002B1B19"/>
    <w:rsid w:val="002F7876"/>
    <w:rsid w:val="00315FFE"/>
    <w:rsid w:val="003C0AEB"/>
    <w:rsid w:val="00492F9E"/>
    <w:rsid w:val="004F7688"/>
    <w:rsid w:val="00572356"/>
    <w:rsid w:val="006045C1"/>
    <w:rsid w:val="006163C0"/>
    <w:rsid w:val="006467D8"/>
    <w:rsid w:val="00646EBF"/>
    <w:rsid w:val="006A531B"/>
    <w:rsid w:val="006F7693"/>
    <w:rsid w:val="00710140"/>
    <w:rsid w:val="00777AEA"/>
    <w:rsid w:val="00790B6D"/>
    <w:rsid w:val="007F2275"/>
    <w:rsid w:val="00915F0F"/>
    <w:rsid w:val="009532DF"/>
    <w:rsid w:val="00997019"/>
    <w:rsid w:val="009A5029"/>
    <w:rsid w:val="009D38D5"/>
    <w:rsid w:val="00A42CB1"/>
    <w:rsid w:val="00A53F26"/>
    <w:rsid w:val="00A6145F"/>
    <w:rsid w:val="00AA0CC5"/>
    <w:rsid w:val="00B16AFE"/>
    <w:rsid w:val="00B24144"/>
    <w:rsid w:val="00B60745"/>
    <w:rsid w:val="00B65CB1"/>
    <w:rsid w:val="00B65DD5"/>
    <w:rsid w:val="00BD10B6"/>
    <w:rsid w:val="00BF4FD2"/>
    <w:rsid w:val="00BF660E"/>
    <w:rsid w:val="00C07076"/>
    <w:rsid w:val="00CB00DF"/>
    <w:rsid w:val="00D73C72"/>
    <w:rsid w:val="00E0592B"/>
    <w:rsid w:val="00E31738"/>
    <w:rsid w:val="00E610AD"/>
    <w:rsid w:val="00E86786"/>
    <w:rsid w:val="00ED2F80"/>
    <w:rsid w:val="00F1624E"/>
    <w:rsid w:val="00F32F8A"/>
    <w:rsid w:val="00F34D0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B7184"/>
  <w15:docId w15:val="{A99481E7-0624-49D9-90AD-BEFD5096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23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235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23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235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114FDF"/>
    <w:pPr>
      <w:ind w:firstLineChars="200" w:firstLine="420"/>
    </w:pPr>
  </w:style>
  <w:style w:type="character" w:customStyle="1" w:styleId="high-light-bg">
    <w:name w:val="high-light-bg"/>
    <w:rsid w:val="00B60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King &amp; Wood Mallesons</cp:lastModifiedBy>
  <cp:revision>2</cp:revision>
  <dcterms:created xsi:type="dcterms:W3CDTF">2019-12-03T03:26:00Z</dcterms:created>
  <dcterms:modified xsi:type="dcterms:W3CDTF">2019-12-03T03:26:00Z</dcterms:modified>
</cp:coreProperties>
</file>